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FD729" w14:textId="3CD329F1" w:rsidR="00B916B8" w:rsidRPr="00F645F9" w:rsidRDefault="00B916B8" w:rsidP="003634AA">
      <w:pPr>
        <w:pStyle w:val="Nadpis1"/>
        <w:spacing w:before="0"/>
        <w:jc w:val="center"/>
        <w:rPr>
          <w:rStyle w:val="Intenzvnezvraznenie"/>
        </w:rPr>
      </w:pPr>
      <w:r w:rsidRPr="00F645F9">
        <w:rPr>
          <w:rStyle w:val="Intenzvnezvraznenie"/>
        </w:rPr>
        <w:t>Zmluva</w:t>
      </w:r>
      <w:r>
        <w:rPr>
          <w:rStyle w:val="Intenzvnezvraznenie"/>
        </w:rPr>
        <w:t xml:space="preserve"> o </w:t>
      </w:r>
      <w:r w:rsidRPr="00F645F9">
        <w:rPr>
          <w:rStyle w:val="Intenzvnezvraznenie"/>
        </w:rPr>
        <w:t>zúčtovaní regulačnej elektriny</w:t>
      </w:r>
    </w:p>
    <w:p w14:paraId="1C9E0C53" w14:textId="77777777" w:rsidR="00B916B8" w:rsidRDefault="00B916B8" w:rsidP="00D93C56">
      <w:pPr>
        <w:pStyle w:val="Bezriadkovania"/>
      </w:pPr>
    </w:p>
    <w:p w14:paraId="764B8A1D" w14:textId="77777777" w:rsidR="00B916B8" w:rsidRDefault="00B916B8" w:rsidP="00D93C56">
      <w:pPr>
        <w:pStyle w:val="Bezriadkovania"/>
        <w:jc w:val="center"/>
      </w:pPr>
      <w:r>
        <w:t>(ďalej len „</w:t>
      </w:r>
      <w:r w:rsidRPr="009D5F2F">
        <w:rPr>
          <w:b/>
        </w:rPr>
        <w:t>Zmluva</w:t>
      </w:r>
      <w:r>
        <w:t>“)</w:t>
      </w:r>
    </w:p>
    <w:p w14:paraId="4AFE830E" w14:textId="77777777" w:rsidR="00B916B8" w:rsidRDefault="00B916B8" w:rsidP="00D93C56">
      <w:pPr>
        <w:pStyle w:val="Bezriadkovania"/>
      </w:pPr>
    </w:p>
    <w:p w14:paraId="20F68821" w14:textId="77777777" w:rsidR="00B916B8" w:rsidRPr="009D5F2F" w:rsidRDefault="00B916B8" w:rsidP="00D93C56">
      <w:pPr>
        <w:pStyle w:val="Bezriadkovania"/>
        <w:jc w:val="center"/>
        <w:rPr>
          <w:b/>
        </w:rPr>
      </w:pPr>
      <w:r w:rsidRPr="009D5F2F">
        <w:rPr>
          <w:b/>
        </w:rPr>
        <w:t>medzi:</w:t>
      </w:r>
    </w:p>
    <w:p w14:paraId="2CD11DE0" w14:textId="77777777" w:rsidR="00B916B8" w:rsidRDefault="00B916B8" w:rsidP="00D93C56">
      <w:pPr>
        <w:pStyle w:val="Bezriadkovania"/>
      </w:pPr>
    </w:p>
    <w:tbl>
      <w:tblPr>
        <w:tblW w:w="8790" w:type="dxa"/>
        <w:jc w:val="center"/>
        <w:tblLook w:val="01E0" w:firstRow="1" w:lastRow="1" w:firstColumn="1" w:lastColumn="1" w:noHBand="0" w:noVBand="0"/>
      </w:tblPr>
      <w:tblGrid>
        <w:gridCol w:w="2484"/>
        <w:gridCol w:w="6306"/>
      </w:tblGrid>
      <w:tr w:rsidR="00194C28" w:rsidRPr="00F83D9A" w14:paraId="52C413D5" w14:textId="77777777" w:rsidTr="004A3A93">
        <w:trPr>
          <w:trHeight w:val="277"/>
          <w:jc w:val="center"/>
        </w:trPr>
        <w:tc>
          <w:tcPr>
            <w:tcW w:w="2484" w:type="dxa"/>
            <w:shd w:val="clear" w:color="auto" w:fill="auto"/>
            <w:vAlign w:val="center"/>
            <w:hideMark/>
          </w:tcPr>
          <w:p w14:paraId="09568BE2" w14:textId="77777777" w:rsidR="00194C28" w:rsidRPr="00F83D9A" w:rsidRDefault="00194C28" w:rsidP="00F71875">
            <w:pPr>
              <w:pStyle w:val="Bezriadkovania1"/>
              <w:rPr>
                <w:bCs/>
              </w:rPr>
            </w:pPr>
            <w:r w:rsidRPr="00F83D9A">
              <w:rPr>
                <w:bCs/>
              </w:rPr>
              <w:t>Obchodné meno:</w:t>
            </w:r>
          </w:p>
        </w:tc>
        <w:tc>
          <w:tcPr>
            <w:tcW w:w="6306" w:type="dxa"/>
            <w:vAlign w:val="center"/>
            <w:hideMark/>
          </w:tcPr>
          <w:p w14:paraId="58410E07" w14:textId="77777777" w:rsidR="00194C28" w:rsidRPr="00F71875" w:rsidRDefault="00194C28" w:rsidP="00F71875">
            <w:pPr>
              <w:pStyle w:val="Bezriadkovania1"/>
              <w:rPr>
                <w:b/>
                <w:bCs/>
              </w:rPr>
            </w:pPr>
          </w:p>
        </w:tc>
      </w:tr>
      <w:tr w:rsidR="00194C28" w:rsidRPr="00F83D9A" w14:paraId="3641C8FB" w14:textId="77777777" w:rsidTr="004A3A93">
        <w:trPr>
          <w:trHeight w:val="271"/>
          <w:jc w:val="center"/>
        </w:trPr>
        <w:tc>
          <w:tcPr>
            <w:tcW w:w="2484" w:type="dxa"/>
            <w:shd w:val="clear" w:color="auto" w:fill="auto"/>
            <w:vAlign w:val="center"/>
            <w:hideMark/>
          </w:tcPr>
          <w:p w14:paraId="4739C4CB" w14:textId="77777777" w:rsidR="00194C28" w:rsidRPr="00F83D9A" w:rsidRDefault="00194C28" w:rsidP="00F71875">
            <w:pPr>
              <w:pStyle w:val="Bezriadkovania1"/>
              <w:rPr>
                <w:bCs/>
              </w:rPr>
            </w:pPr>
            <w:r w:rsidRPr="00F83D9A">
              <w:rPr>
                <w:bCs/>
              </w:rPr>
              <w:t>Sídlo:</w:t>
            </w:r>
          </w:p>
        </w:tc>
        <w:tc>
          <w:tcPr>
            <w:tcW w:w="6306" w:type="dxa"/>
            <w:vAlign w:val="center"/>
          </w:tcPr>
          <w:p w14:paraId="0E3F879A" w14:textId="77777777" w:rsidR="00194C28" w:rsidRPr="00F83D9A" w:rsidRDefault="00194C28" w:rsidP="00F71875">
            <w:pPr>
              <w:pStyle w:val="Bezriadkovania1"/>
            </w:pPr>
          </w:p>
        </w:tc>
      </w:tr>
      <w:tr w:rsidR="00194C28" w:rsidRPr="00F83D9A" w14:paraId="314F3E2A" w14:textId="77777777" w:rsidTr="004A3A93">
        <w:trPr>
          <w:trHeight w:val="65"/>
          <w:jc w:val="center"/>
        </w:trPr>
        <w:tc>
          <w:tcPr>
            <w:tcW w:w="2484" w:type="dxa"/>
            <w:shd w:val="clear" w:color="auto" w:fill="auto"/>
            <w:vAlign w:val="center"/>
            <w:hideMark/>
          </w:tcPr>
          <w:p w14:paraId="14C81B34" w14:textId="77777777" w:rsidR="00194C28" w:rsidRPr="00F83D9A" w:rsidRDefault="00194C28" w:rsidP="00F71875">
            <w:pPr>
              <w:pStyle w:val="Bezriadkovania1"/>
              <w:rPr>
                <w:bCs/>
              </w:rPr>
            </w:pPr>
            <w:r w:rsidRPr="00F83D9A">
              <w:rPr>
                <w:bCs/>
              </w:rPr>
              <w:t>IČO:</w:t>
            </w:r>
          </w:p>
        </w:tc>
        <w:tc>
          <w:tcPr>
            <w:tcW w:w="6306" w:type="dxa"/>
            <w:vAlign w:val="center"/>
          </w:tcPr>
          <w:p w14:paraId="5BC86172" w14:textId="77777777" w:rsidR="00194C28" w:rsidRPr="00F83D9A" w:rsidRDefault="00194C28" w:rsidP="00F71875">
            <w:pPr>
              <w:pStyle w:val="Bezriadkovania1"/>
            </w:pPr>
          </w:p>
        </w:tc>
      </w:tr>
      <w:tr w:rsidR="00194C28" w:rsidRPr="00F83D9A" w14:paraId="411DC155" w14:textId="77777777" w:rsidTr="004A3A93">
        <w:trPr>
          <w:trHeight w:val="65"/>
          <w:jc w:val="center"/>
        </w:trPr>
        <w:tc>
          <w:tcPr>
            <w:tcW w:w="2484" w:type="dxa"/>
            <w:shd w:val="clear" w:color="auto" w:fill="auto"/>
            <w:vAlign w:val="center"/>
            <w:hideMark/>
          </w:tcPr>
          <w:p w14:paraId="48108C60" w14:textId="77777777" w:rsidR="00194C28" w:rsidRPr="00F83D9A" w:rsidRDefault="00194C28" w:rsidP="00F71875">
            <w:pPr>
              <w:pStyle w:val="Bezriadkovania1"/>
              <w:rPr>
                <w:bCs/>
              </w:rPr>
            </w:pPr>
            <w:r w:rsidRPr="00F83D9A">
              <w:rPr>
                <w:bCs/>
              </w:rPr>
              <w:t>DIČ:</w:t>
            </w:r>
          </w:p>
        </w:tc>
        <w:tc>
          <w:tcPr>
            <w:tcW w:w="6306" w:type="dxa"/>
            <w:vAlign w:val="center"/>
          </w:tcPr>
          <w:p w14:paraId="3DE624C7" w14:textId="77777777" w:rsidR="00194C28" w:rsidRPr="00F83D9A" w:rsidRDefault="00194C28" w:rsidP="00F71875">
            <w:pPr>
              <w:pStyle w:val="Bezriadkovania1"/>
            </w:pPr>
          </w:p>
        </w:tc>
      </w:tr>
      <w:tr w:rsidR="00194C28" w:rsidRPr="00F83D9A" w14:paraId="02A78F83" w14:textId="77777777" w:rsidTr="004A3A93">
        <w:trPr>
          <w:trHeight w:val="303"/>
          <w:jc w:val="center"/>
        </w:trPr>
        <w:tc>
          <w:tcPr>
            <w:tcW w:w="2484" w:type="dxa"/>
            <w:shd w:val="clear" w:color="auto" w:fill="auto"/>
            <w:vAlign w:val="center"/>
            <w:hideMark/>
          </w:tcPr>
          <w:p w14:paraId="2D8EA7F5" w14:textId="77777777" w:rsidR="00194C28" w:rsidRPr="00F83D9A" w:rsidRDefault="00194C28" w:rsidP="00F71875">
            <w:pPr>
              <w:pStyle w:val="Bezriadkovania1"/>
              <w:rPr>
                <w:bCs/>
              </w:rPr>
            </w:pPr>
            <w:r w:rsidRPr="00F83D9A">
              <w:rPr>
                <w:bCs/>
              </w:rPr>
              <w:t>IČ DPH:</w:t>
            </w:r>
          </w:p>
        </w:tc>
        <w:tc>
          <w:tcPr>
            <w:tcW w:w="6306" w:type="dxa"/>
            <w:vAlign w:val="center"/>
          </w:tcPr>
          <w:p w14:paraId="54CE1FD2" w14:textId="77777777" w:rsidR="00194C28" w:rsidRPr="00F83D9A" w:rsidRDefault="00194C28" w:rsidP="00F71875">
            <w:pPr>
              <w:pStyle w:val="Bezriadkovania1"/>
            </w:pPr>
          </w:p>
        </w:tc>
      </w:tr>
      <w:tr w:rsidR="00194C28" w:rsidRPr="00F83D9A" w14:paraId="4ECC851D" w14:textId="77777777" w:rsidTr="004A3A93">
        <w:trPr>
          <w:trHeight w:val="303"/>
          <w:jc w:val="center"/>
        </w:trPr>
        <w:tc>
          <w:tcPr>
            <w:tcW w:w="2484" w:type="dxa"/>
            <w:shd w:val="clear" w:color="auto" w:fill="auto"/>
            <w:vAlign w:val="center"/>
          </w:tcPr>
          <w:p w14:paraId="71394E5B" w14:textId="77777777" w:rsidR="00194C28" w:rsidRPr="00F83D9A" w:rsidRDefault="00194C28" w:rsidP="00F71875">
            <w:pPr>
              <w:pStyle w:val="Bezriadkovania1"/>
              <w:rPr>
                <w:bCs/>
              </w:rPr>
            </w:pPr>
            <w:r w:rsidRPr="00F83D9A">
              <w:rPr>
                <w:bCs/>
              </w:rPr>
              <w:t>Zastúpená:</w:t>
            </w:r>
          </w:p>
        </w:tc>
        <w:tc>
          <w:tcPr>
            <w:tcW w:w="6306" w:type="dxa"/>
            <w:vAlign w:val="center"/>
          </w:tcPr>
          <w:p w14:paraId="3E7FFAFD" w14:textId="77777777" w:rsidR="00194C28" w:rsidRPr="00F71875" w:rsidRDefault="00194C28" w:rsidP="00F71875">
            <w:pPr>
              <w:pStyle w:val="Bezriadkovania1"/>
              <w:rPr>
                <w:b/>
                <w:bCs/>
              </w:rPr>
            </w:pPr>
          </w:p>
        </w:tc>
      </w:tr>
      <w:tr w:rsidR="00194C28" w:rsidRPr="00F83D9A" w14:paraId="463C9B56" w14:textId="77777777" w:rsidTr="004A3A93">
        <w:trPr>
          <w:trHeight w:val="303"/>
          <w:jc w:val="center"/>
        </w:trPr>
        <w:tc>
          <w:tcPr>
            <w:tcW w:w="2484" w:type="dxa"/>
            <w:shd w:val="clear" w:color="auto" w:fill="auto"/>
            <w:vAlign w:val="center"/>
          </w:tcPr>
          <w:p w14:paraId="171B9523" w14:textId="77777777" w:rsidR="00194C28" w:rsidRPr="00F83D9A" w:rsidRDefault="00194C28" w:rsidP="00F71875">
            <w:pPr>
              <w:pStyle w:val="Bezriadkovania1"/>
              <w:rPr>
                <w:bCs/>
              </w:rPr>
            </w:pPr>
            <w:r w:rsidRPr="00F83D9A">
              <w:rPr>
                <w:bCs/>
              </w:rPr>
              <w:t>Bankové spojenie:</w:t>
            </w:r>
          </w:p>
        </w:tc>
        <w:tc>
          <w:tcPr>
            <w:tcW w:w="6306" w:type="dxa"/>
            <w:vAlign w:val="center"/>
          </w:tcPr>
          <w:p w14:paraId="18350CE6" w14:textId="77777777" w:rsidR="00194C28" w:rsidRPr="00F83D9A" w:rsidRDefault="00194C28" w:rsidP="00F71875">
            <w:pPr>
              <w:pStyle w:val="Bezriadkovania1"/>
            </w:pPr>
          </w:p>
        </w:tc>
      </w:tr>
      <w:tr w:rsidR="00194C28" w:rsidRPr="00F83D9A" w14:paraId="283B05B5" w14:textId="77777777" w:rsidTr="004A3A93">
        <w:trPr>
          <w:trHeight w:val="303"/>
          <w:jc w:val="center"/>
        </w:trPr>
        <w:tc>
          <w:tcPr>
            <w:tcW w:w="2484" w:type="dxa"/>
            <w:shd w:val="clear" w:color="auto" w:fill="auto"/>
            <w:vAlign w:val="center"/>
          </w:tcPr>
          <w:p w14:paraId="1E200C88" w14:textId="77777777" w:rsidR="00194C28" w:rsidRPr="00F83D9A" w:rsidRDefault="00194C28" w:rsidP="00F71875">
            <w:pPr>
              <w:pStyle w:val="Bezriadkovania1"/>
              <w:rPr>
                <w:bCs/>
              </w:rPr>
            </w:pPr>
            <w:r w:rsidRPr="00F83D9A">
              <w:rPr>
                <w:bCs/>
              </w:rPr>
              <w:t>IBAN:</w:t>
            </w:r>
          </w:p>
        </w:tc>
        <w:tc>
          <w:tcPr>
            <w:tcW w:w="6306" w:type="dxa"/>
            <w:vAlign w:val="center"/>
          </w:tcPr>
          <w:p w14:paraId="4E8D9286" w14:textId="77777777" w:rsidR="00194C28" w:rsidRPr="00F83D9A" w:rsidRDefault="00194C28" w:rsidP="00F71875">
            <w:pPr>
              <w:pStyle w:val="Bezriadkovania1"/>
            </w:pPr>
          </w:p>
        </w:tc>
      </w:tr>
      <w:tr w:rsidR="00194C28" w:rsidRPr="00F83D9A" w14:paraId="079221F7" w14:textId="77777777" w:rsidTr="004A3A93">
        <w:trPr>
          <w:trHeight w:val="303"/>
          <w:jc w:val="center"/>
        </w:trPr>
        <w:tc>
          <w:tcPr>
            <w:tcW w:w="2484" w:type="dxa"/>
            <w:shd w:val="clear" w:color="auto" w:fill="auto"/>
            <w:vAlign w:val="center"/>
          </w:tcPr>
          <w:p w14:paraId="7B56C139" w14:textId="77777777" w:rsidR="00194C28" w:rsidRPr="00F83D9A" w:rsidRDefault="00194C28" w:rsidP="00F71875">
            <w:pPr>
              <w:pStyle w:val="Bezriadkovania1"/>
              <w:rPr>
                <w:bCs/>
              </w:rPr>
            </w:pPr>
            <w:r w:rsidRPr="00F83D9A">
              <w:rPr>
                <w:bCs/>
              </w:rPr>
              <w:t>BIC:</w:t>
            </w:r>
          </w:p>
        </w:tc>
        <w:tc>
          <w:tcPr>
            <w:tcW w:w="6306" w:type="dxa"/>
            <w:vAlign w:val="center"/>
          </w:tcPr>
          <w:p w14:paraId="4A3FAB0E" w14:textId="77777777" w:rsidR="00194C28" w:rsidRPr="00F83D9A" w:rsidRDefault="00194C28" w:rsidP="00F71875">
            <w:pPr>
              <w:pStyle w:val="Bezriadkovania1"/>
            </w:pPr>
          </w:p>
        </w:tc>
      </w:tr>
      <w:tr w:rsidR="00194C28" w:rsidRPr="00F83D9A" w14:paraId="3E2AC89F" w14:textId="77777777" w:rsidTr="004A3A93">
        <w:trPr>
          <w:trHeight w:val="303"/>
          <w:jc w:val="center"/>
        </w:trPr>
        <w:tc>
          <w:tcPr>
            <w:tcW w:w="2484" w:type="dxa"/>
            <w:shd w:val="clear" w:color="auto" w:fill="auto"/>
            <w:vAlign w:val="center"/>
          </w:tcPr>
          <w:p w14:paraId="0C2DA719" w14:textId="77777777" w:rsidR="00194C28" w:rsidRPr="00F83D9A" w:rsidRDefault="00194C28" w:rsidP="00F71875">
            <w:pPr>
              <w:pStyle w:val="Bezriadkovania1"/>
              <w:rPr>
                <w:bCs/>
              </w:rPr>
            </w:pPr>
            <w:r w:rsidRPr="00F83D9A">
              <w:rPr>
                <w:bCs/>
              </w:rPr>
              <w:t>Referencia:</w:t>
            </w:r>
          </w:p>
        </w:tc>
        <w:tc>
          <w:tcPr>
            <w:tcW w:w="6306" w:type="dxa"/>
            <w:vAlign w:val="center"/>
          </w:tcPr>
          <w:p w14:paraId="4E701D8F" w14:textId="77777777" w:rsidR="00194C28" w:rsidRPr="00F83D9A" w:rsidRDefault="00194C28" w:rsidP="00F71875">
            <w:pPr>
              <w:pStyle w:val="Bezriadkovania1"/>
            </w:pPr>
          </w:p>
        </w:tc>
      </w:tr>
      <w:tr w:rsidR="00194C28" w:rsidRPr="00F83D9A" w14:paraId="2720F972" w14:textId="77777777" w:rsidTr="004A3A93">
        <w:trPr>
          <w:trHeight w:val="303"/>
          <w:jc w:val="center"/>
        </w:trPr>
        <w:tc>
          <w:tcPr>
            <w:tcW w:w="2484" w:type="dxa"/>
            <w:shd w:val="clear" w:color="auto" w:fill="auto"/>
            <w:vAlign w:val="center"/>
          </w:tcPr>
          <w:p w14:paraId="0A5F5528" w14:textId="77777777" w:rsidR="00194C28" w:rsidRPr="00F83D9A" w:rsidRDefault="00194C28" w:rsidP="00F71875">
            <w:pPr>
              <w:pStyle w:val="Bezriadkovania1"/>
              <w:rPr>
                <w:bCs/>
              </w:rPr>
            </w:pPr>
            <w:r w:rsidRPr="00F83D9A">
              <w:rPr>
                <w:bCs/>
              </w:rPr>
              <w:t>EIC:</w:t>
            </w:r>
          </w:p>
        </w:tc>
        <w:tc>
          <w:tcPr>
            <w:tcW w:w="6306" w:type="dxa"/>
            <w:vAlign w:val="center"/>
          </w:tcPr>
          <w:p w14:paraId="06528766" w14:textId="77777777" w:rsidR="00194C28" w:rsidRPr="00F83D9A" w:rsidRDefault="00194C28" w:rsidP="00F71875">
            <w:pPr>
              <w:pStyle w:val="Bezriadkovania1"/>
            </w:pPr>
          </w:p>
        </w:tc>
      </w:tr>
      <w:tr w:rsidR="00194C28" w:rsidRPr="00F83D9A" w14:paraId="10C1BB24" w14:textId="77777777" w:rsidTr="004A3A93">
        <w:trPr>
          <w:trHeight w:val="303"/>
          <w:jc w:val="center"/>
        </w:trPr>
        <w:tc>
          <w:tcPr>
            <w:tcW w:w="2484" w:type="dxa"/>
            <w:shd w:val="clear" w:color="auto" w:fill="auto"/>
            <w:vAlign w:val="center"/>
          </w:tcPr>
          <w:p w14:paraId="370E5664" w14:textId="77777777" w:rsidR="00194C28" w:rsidRPr="00F83D9A" w:rsidRDefault="00194C28" w:rsidP="00F71875">
            <w:pPr>
              <w:pStyle w:val="Bezriadkovania1"/>
              <w:rPr>
                <w:bCs/>
              </w:rPr>
            </w:pPr>
            <w:r w:rsidRPr="00F83D9A">
              <w:rPr>
                <w:bCs/>
              </w:rPr>
              <w:t>Obchodný register:</w:t>
            </w:r>
          </w:p>
        </w:tc>
        <w:tc>
          <w:tcPr>
            <w:tcW w:w="6306" w:type="dxa"/>
            <w:vAlign w:val="center"/>
          </w:tcPr>
          <w:p w14:paraId="3C151B36" w14:textId="77777777" w:rsidR="00194C28" w:rsidRPr="00F83D9A" w:rsidRDefault="00194C28" w:rsidP="00F71875">
            <w:pPr>
              <w:pStyle w:val="Bezriadkovania1"/>
            </w:pPr>
          </w:p>
        </w:tc>
      </w:tr>
    </w:tbl>
    <w:p w14:paraId="43159C64" w14:textId="77777777" w:rsidR="00B916B8" w:rsidRDefault="00B916B8" w:rsidP="00D93C56">
      <w:pPr>
        <w:pStyle w:val="Bezriadkovania"/>
      </w:pPr>
      <w:r>
        <w:tab/>
      </w:r>
    </w:p>
    <w:p w14:paraId="2F1D7415" w14:textId="77777777" w:rsidR="00B916B8" w:rsidRDefault="00B916B8" w:rsidP="00D93C56">
      <w:pPr>
        <w:pStyle w:val="Bezriadkovania"/>
      </w:pPr>
      <w:r>
        <w:t>(ďalej len „</w:t>
      </w:r>
      <w:r w:rsidRPr="00CC34A3">
        <w:rPr>
          <w:b/>
        </w:rPr>
        <w:t>Dodávateľ RE</w:t>
      </w:r>
      <w:r>
        <w:t>“)</w:t>
      </w:r>
    </w:p>
    <w:p w14:paraId="17FB159C" w14:textId="77777777" w:rsidR="00B916B8" w:rsidRDefault="00B916B8" w:rsidP="00D93C56">
      <w:pPr>
        <w:pStyle w:val="Bezriadkovania"/>
      </w:pPr>
    </w:p>
    <w:p w14:paraId="1678BC32" w14:textId="77777777" w:rsidR="00B916B8" w:rsidRPr="009D5F2F" w:rsidRDefault="00B916B8" w:rsidP="00D93C56">
      <w:pPr>
        <w:pStyle w:val="Bezriadkovania"/>
        <w:jc w:val="center"/>
        <w:rPr>
          <w:b/>
        </w:rPr>
      </w:pPr>
      <w:r w:rsidRPr="009D5F2F">
        <w:rPr>
          <w:b/>
        </w:rPr>
        <w:t>a</w:t>
      </w:r>
    </w:p>
    <w:p w14:paraId="30D87852" w14:textId="77777777" w:rsidR="00B916B8" w:rsidRDefault="00B916B8" w:rsidP="00D93C56">
      <w:pPr>
        <w:pStyle w:val="Bezriadkovania"/>
      </w:pPr>
    </w:p>
    <w:p w14:paraId="7B8CB76E" w14:textId="77777777" w:rsidR="00B916B8" w:rsidRDefault="00B916B8" w:rsidP="00D93C56">
      <w:pPr>
        <w:pStyle w:val="Bezriadkovania"/>
      </w:pPr>
    </w:p>
    <w:tbl>
      <w:tblPr>
        <w:tblW w:w="8823" w:type="dxa"/>
        <w:jc w:val="center"/>
        <w:tblLook w:val="01E0" w:firstRow="1" w:lastRow="1" w:firstColumn="1" w:lastColumn="1" w:noHBand="0" w:noVBand="0"/>
      </w:tblPr>
      <w:tblGrid>
        <w:gridCol w:w="2551"/>
        <w:gridCol w:w="6272"/>
      </w:tblGrid>
      <w:tr w:rsidR="003102D6" w:rsidRPr="00F83D9A" w14:paraId="0920457D" w14:textId="77777777" w:rsidTr="6357AA6F">
        <w:trPr>
          <w:trHeight w:val="277"/>
          <w:jc w:val="center"/>
        </w:trPr>
        <w:tc>
          <w:tcPr>
            <w:tcW w:w="2551" w:type="dxa"/>
            <w:shd w:val="clear" w:color="auto" w:fill="auto"/>
            <w:vAlign w:val="center"/>
            <w:hideMark/>
          </w:tcPr>
          <w:p w14:paraId="6234D1E5" w14:textId="77777777" w:rsidR="003102D6" w:rsidRPr="00F83D9A" w:rsidRDefault="003102D6" w:rsidP="00F71875">
            <w:pPr>
              <w:pStyle w:val="Bezriadkovania1"/>
              <w:rPr>
                <w:bCs/>
              </w:rPr>
            </w:pPr>
            <w:r w:rsidRPr="00F83D9A">
              <w:rPr>
                <w:bCs/>
              </w:rPr>
              <w:t>Obchodné meno:</w:t>
            </w:r>
          </w:p>
        </w:tc>
        <w:tc>
          <w:tcPr>
            <w:tcW w:w="6272" w:type="dxa"/>
            <w:shd w:val="clear" w:color="auto" w:fill="auto"/>
            <w:vAlign w:val="center"/>
            <w:hideMark/>
          </w:tcPr>
          <w:p w14:paraId="1F6537F4" w14:textId="77777777" w:rsidR="003102D6" w:rsidRPr="0081718D" w:rsidRDefault="003102D6" w:rsidP="00F71875">
            <w:pPr>
              <w:pStyle w:val="Bezriadkovania1"/>
              <w:rPr>
                <w:b/>
                <w:bCs/>
              </w:rPr>
            </w:pPr>
            <w:r w:rsidRPr="0081718D">
              <w:rPr>
                <w:b/>
                <w:bCs/>
              </w:rPr>
              <w:t>OKTE, a.s.</w:t>
            </w:r>
          </w:p>
        </w:tc>
      </w:tr>
      <w:tr w:rsidR="003102D6" w:rsidRPr="00F83D9A" w14:paraId="3B2E886C" w14:textId="77777777" w:rsidTr="6357AA6F">
        <w:trPr>
          <w:trHeight w:val="271"/>
          <w:jc w:val="center"/>
        </w:trPr>
        <w:tc>
          <w:tcPr>
            <w:tcW w:w="2551" w:type="dxa"/>
            <w:shd w:val="clear" w:color="auto" w:fill="auto"/>
            <w:vAlign w:val="center"/>
            <w:hideMark/>
          </w:tcPr>
          <w:p w14:paraId="36168894" w14:textId="77777777" w:rsidR="003102D6" w:rsidRPr="00F83D9A" w:rsidRDefault="003102D6" w:rsidP="00F71875">
            <w:pPr>
              <w:pStyle w:val="Bezriadkovania1"/>
              <w:rPr>
                <w:bCs/>
              </w:rPr>
            </w:pPr>
            <w:r w:rsidRPr="00F83D9A">
              <w:rPr>
                <w:bCs/>
              </w:rPr>
              <w:t>Sídlo:</w:t>
            </w:r>
          </w:p>
        </w:tc>
        <w:tc>
          <w:tcPr>
            <w:tcW w:w="6272" w:type="dxa"/>
            <w:shd w:val="clear" w:color="auto" w:fill="auto"/>
            <w:vAlign w:val="center"/>
          </w:tcPr>
          <w:p w14:paraId="19826A23" w14:textId="77777777" w:rsidR="003102D6" w:rsidRPr="00F83D9A" w:rsidRDefault="003102D6" w:rsidP="00F71875">
            <w:pPr>
              <w:pStyle w:val="Bezriadkovania1"/>
            </w:pPr>
            <w:r>
              <w:t>Mlynské nivy 48, 821 09 Bratislava, SR</w:t>
            </w:r>
          </w:p>
        </w:tc>
      </w:tr>
      <w:tr w:rsidR="003102D6" w:rsidRPr="00F83D9A" w14:paraId="53BB5F4E" w14:textId="77777777" w:rsidTr="6357AA6F">
        <w:trPr>
          <w:trHeight w:val="65"/>
          <w:jc w:val="center"/>
        </w:trPr>
        <w:tc>
          <w:tcPr>
            <w:tcW w:w="2551" w:type="dxa"/>
            <w:shd w:val="clear" w:color="auto" w:fill="auto"/>
            <w:vAlign w:val="center"/>
            <w:hideMark/>
          </w:tcPr>
          <w:p w14:paraId="03346A8F" w14:textId="77777777" w:rsidR="003102D6" w:rsidRPr="00F83D9A" w:rsidRDefault="003102D6" w:rsidP="00F71875">
            <w:pPr>
              <w:pStyle w:val="Bezriadkovania1"/>
              <w:rPr>
                <w:bCs/>
              </w:rPr>
            </w:pPr>
            <w:r w:rsidRPr="00F83D9A">
              <w:rPr>
                <w:bCs/>
              </w:rPr>
              <w:t>IČO:</w:t>
            </w:r>
          </w:p>
        </w:tc>
        <w:tc>
          <w:tcPr>
            <w:tcW w:w="6272" w:type="dxa"/>
            <w:shd w:val="clear" w:color="auto" w:fill="auto"/>
            <w:vAlign w:val="center"/>
          </w:tcPr>
          <w:p w14:paraId="0CE8A2D4" w14:textId="77777777" w:rsidR="003102D6" w:rsidRPr="00F83D9A" w:rsidRDefault="003102D6" w:rsidP="00F71875">
            <w:pPr>
              <w:pStyle w:val="Bezriadkovania1"/>
            </w:pPr>
            <w:r>
              <w:t>45 687 862</w:t>
            </w:r>
          </w:p>
        </w:tc>
      </w:tr>
      <w:tr w:rsidR="003102D6" w:rsidRPr="00F83D9A" w14:paraId="1BC2F5FB" w14:textId="77777777" w:rsidTr="6357AA6F">
        <w:trPr>
          <w:trHeight w:val="65"/>
          <w:jc w:val="center"/>
        </w:trPr>
        <w:tc>
          <w:tcPr>
            <w:tcW w:w="2551" w:type="dxa"/>
            <w:shd w:val="clear" w:color="auto" w:fill="auto"/>
            <w:vAlign w:val="center"/>
            <w:hideMark/>
          </w:tcPr>
          <w:p w14:paraId="56441E53" w14:textId="77777777" w:rsidR="003102D6" w:rsidRPr="00F83D9A" w:rsidRDefault="003102D6" w:rsidP="00F71875">
            <w:pPr>
              <w:pStyle w:val="Bezriadkovania1"/>
              <w:rPr>
                <w:bCs/>
              </w:rPr>
            </w:pPr>
            <w:r w:rsidRPr="00F83D9A">
              <w:rPr>
                <w:bCs/>
              </w:rPr>
              <w:t>DIČ:</w:t>
            </w:r>
          </w:p>
        </w:tc>
        <w:tc>
          <w:tcPr>
            <w:tcW w:w="6272" w:type="dxa"/>
            <w:shd w:val="clear" w:color="auto" w:fill="auto"/>
            <w:vAlign w:val="center"/>
          </w:tcPr>
          <w:p w14:paraId="0E4C2F65" w14:textId="77777777" w:rsidR="003102D6" w:rsidRPr="00F83D9A" w:rsidRDefault="003102D6" w:rsidP="00F71875">
            <w:pPr>
              <w:pStyle w:val="Bezriadkovania1"/>
            </w:pPr>
            <w:r>
              <w:t>2023089728</w:t>
            </w:r>
          </w:p>
        </w:tc>
      </w:tr>
      <w:tr w:rsidR="003102D6" w:rsidRPr="00F83D9A" w14:paraId="0D8FF41E" w14:textId="77777777" w:rsidTr="6357AA6F">
        <w:trPr>
          <w:trHeight w:val="303"/>
          <w:jc w:val="center"/>
        </w:trPr>
        <w:tc>
          <w:tcPr>
            <w:tcW w:w="2551" w:type="dxa"/>
            <w:shd w:val="clear" w:color="auto" w:fill="auto"/>
            <w:vAlign w:val="center"/>
            <w:hideMark/>
          </w:tcPr>
          <w:p w14:paraId="2163722E" w14:textId="77777777" w:rsidR="003102D6" w:rsidRPr="00F83D9A" w:rsidRDefault="003102D6" w:rsidP="00F71875">
            <w:pPr>
              <w:pStyle w:val="Bezriadkovania1"/>
              <w:rPr>
                <w:bCs/>
              </w:rPr>
            </w:pPr>
            <w:r w:rsidRPr="00F83D9A">
              <w:rPr>
                <w:bCs/>
              </w:rPr>
              <w:t>IČ DPH:</w:t>
            </w:r>
          </w:p>
        </w:tc>
        <w:tc>
          <w:tcPr>
            <w:tcW w:w="6272" w:type="dxa"/>
            <w:shd w:val="clear" w:color="auto" w:fill="auto"/>
            <w:vAlign w:val="center"/>
          </w:tcPr>
          <w:p w14:paraId="7F2019EF" w14:textId="77777777" w:rsidR="003102D6" w:rsidRPr="00F83D9A" w:rsidRDefault="003102D6" w:rsidP="00F71875">
            <w:pPr>
              <w:pStyle w:val="Bezriadkovania1"/>
            </w:pPr>
            <w:r>
              <w:t>SK2023089728</w:t>
            </w:r>
          </w:p>
        </w:tc>
      </w:tr>
      <w:tr w:rsidR="003102D6" w:rsidRPr="00F83D9A" w14:paraId="4BC881BF" w14:textId="77777777" w:rsidTr="6357AA6F">
        <w:trPr>
          <w:trHeight w:val="303"/>
          <w:jc w:val="center"/>
        </w:trPr>
        <w:tc>
          <w:tcPr>
            <w:tcW w:w="2551" w:type="dxa"/>
            <w:shd w:val="clear" w:color="auto" w:fill="auto"/>
            <w:vAlign w:val="center"/>
          </w:tcPr>
          <w:p w14:paraId="6694D3F9" w14:textId="77777777" w:rsidR="003102D6" w:rsidRPr="00F83D9A" w:rsidRDefault="003102D6" w:rsidP="00F71875">
            <w:pPr>
              <w:pStyle w:val="Bezriadkovania1"/>
              <w:rPr>
                <w:bCs/>
              </w:rPr>
            </w:pPr>
            <w:r w:rsidRPr="00F83D9A">
              <w:rPr>
                <w:bCs/>
              </w:rPr>
              <w:t>Zastúpená:</w:t>
            </w:r>
          </w:p>
        </w:tc>
        <w:tc>
          <w:tcPr>
            <w:tcW w:w="6272" w:type="dxa"/>
            <w:shd w:val="clear" w:color="auto" w:fill="auto"/>
            <w:vAlign w:val="center"/>
          </w:tcPr>
          <w:p w14:paraId="7694F6AF" w14:textId="6CD67CDE" w:rsidR="003102D6" w:rsidRPr="00F83D9A" w:rsidRDefault="003102D6" w:rsidP="00F71875">
            <w:pPr>
              <w:pStyle w:val="Bezriadkovania1"/>
            </w:pPr>
            <w:r w:rsidRPr="6357AA6F">
              <w:rPr>
                <w:b/>
                <w:bCs/>
              </w:rPr>
              <w:t>Miloš Bikár</w:t>
            </w:r>
            <w:r>
              <w:t>, predseda predstavenstva</w:t>
            </w:r>
          </w:p>
        </w:tc>
      </w:tr>
      <w:tr w:rsidR="003102D6" w:rsidRPr="00F83D9A" w14:paraId="1952F8C4" w14:textId="77777777" w:rsidTr="6357AA6F">
        <w:trPr>
          <w:trHeight w:val="303"/>
          <w:jc w:val="center"/>
        </w:trPr>
        <w:tc>
          <w:tcPr>
            <w:tcW w:w="2551" w:type="dxa"/>
            <w:shd w:val="clear" w:color="auto" w:fill="auto"/>
            <w:vAlign w:val="center"/>
          </w:tcPr>
          <w:p w14:paraId="6626650F" w14:textId="77777777" w:rsidR="003102D6" w:rsidRPr="00F83D9A" w:rsidRDefault="003102D6" w:rsidP="00F71875">
            <w:pPr>
              <w:pStyle w:val="Bezriadkovania1"/>
              <w:rPr>
                <w:bCs/>
              </w:rPr>
            </w:pPr>
          </w:p>
        </w:tc>
        <w:tc>
          <w:tcPr>
            <w:tcW w:w="6272" w:type="dxa"/>
            <w:shd w:val="clear" w:color="auto" w:fill="auto"/>
            <w:vAlign w:val="center"/>
          </w:tcPr>
          <w:p w14:paraId="69FFE722" w14:textId="77777777" w:rsidR="003102D6" w:rsidRPr="007E5082" w:rsidRDefault="003102D6" w:rsidP="00F71875">
            <w:pPr>
              <w:pStyle w:val="Bezriadkovania1"/>
            </w:pPr>
            <w:r w:rsidRPr="6357AA6F">
              <w:rPr>
                <w:b/>
                <w:bCs/>
              </w:rPr>
              <w:t xml:space="preserve">Ing. Martin </w:t>
            </w:r>
            <w:r w:rsidRPr="6357AA6F">
              <w:rPr>
                <w:rFonts w:eastAsia="Arial" w:cs="Arial"/>
                <w:b/>
                <w:bCs/>
              </w:rPr>
              <w:t>Švantner</w:t>
            </w:r>
            <w:r>
              <w:t xml:space="preserve">, </w:t>
            </w:r>
            <w:r w:rsidRPr="6357AA6F">
              <w:rPr>
                <w:rFonts w:eastAsia="Arial" w:cs="Arial"/>
              </w:rPr>
              <w:t>člen predstavenstva</w:t>
            </w:r>
          </w:p>
        </w:tc>
      </w:tr>
      <w:tr w:rsidR="003102D6" w:rsidRPr="00F83D9A" w14:paraId="6AB0202C" w14:textId="77777777" w:rsidTr="6357AA6F">
        <w:trPr>
          <w:trHeight w:val="303"/>
          <w:jc w:val="center"/>
        </w:trPr>
        <w:tc>
          <w:tcPr>
            <w:tcW w:w="2551" w:type="dxa"/>
            <w:shd w:val="clear" w:color="auto" w:fill="auto"/>
            <w:vAlign w:val="center"/>
          </w:tcPr>
          <w:p w14:paraId="1F1E42E2" w14:textId="77777777" w:rsidR="003102D6" w:rsidRPr="00F83D9A" w:rsidRDefault="003102D6" w:rsidP="00F71875">
            <w:pPr>
              <w:pStyle w:val="Bezriadkovania1"/>
              <w:rPr>
                <w:bCs/>
              </w:rPr>
            </w:pPr>
            <w:r w:rsidRPr="00F83D9A">
              <w:rPr>
                <w:bCs/>
              </w:rPr>
              <w:t>Bankové spojenie:</w:t>
            </w:r>
          </w:p>
        </w:tc>
        <w:tc>
          <w:tcPr>
            <w:tcW w:w="6272" w:type="dxa"/>
            <w:shd w:val="clear" w:color="auto" w:fill="auto"/>
            <w:vAlign w:val="center"/>
          </w:tcPr>
          <w:p w14:paraId="66F89D1C" w14:textId="77777777" w:rsidR="003102D6" w:rsidRPr="00F83D9A" w:rsidRDefault="003102D6" w:rsidP="00F71875">
            <w:pPr>
              <w:pStyle w:val="Bezriadkovania1"/>
            </w:pPr>
            <w:r>
              <w:t>Tatra banka, a.s.</w:t>
            </w:r>
          </w:p>
        </w:tc>
      </w:tr>
      <w:tr w:rsidR="003102D6" w:rsidRPr="00F83D9A" w14:paraId="5CEBAADF" w14:textId="77777777" w:rsidTr="6357AA6F">
        <w:trPr>
          <w:trHeight w:val="303"/>
          <w:jc w:val="center"/>
        </w:trPr>
        <w:tc>
          <w:tcPr>
            <w:tcW w:w="2551" w:type="dxa"/>
            <w:shd w:val="clear" w:color="auto" w:fill="auto"/>
            <w:vAlign w:val="center"/>
          </w:tcPr>
          <w:p w14:paraId="01CF327F" w14:textId="77777777" w:rsidR="003102D6" w:rsidRPr="00F83D9A" w:rsidRDefault="003102D6" w:rsidP="00F71875">
            <w:pPr>
              <w:pStyle w:val="Bezriadkovania1"/>
              <w:rPr>
                <w:bCs/>
              </w:rPr>
            </w:pPr>
            <w:r w:rsidRPr="00F83D9A">
              <w:rPr>
                <w:bCs/>
              </w:rPr>
              <w:t>IBAN:</w:t>
            </w:r>
          </w:p>
        </w:tc>
        <w:tc>
          <w:tcPr>
            <w:tcW w:w="6272" w:type="dxa"/>
            <w:shd w:val="clear" w:color="auto" w:fill="auto"/>
            <w:vAlign w:val="center"/>
          </w:tcPr>
          <w:p w14:paraId="04D0E4F1" w14:textId="77777777" w:rsidR="003102D6" w:rsidRPr="00F83D9A" w:rsidRDefault="003102D6" w:rsidP="00F71875">
            <w:pPr>
              <w:pStyle w:val="Bezriadkovania"/>
            </w:pPr>
            <w:r w:rsidRPr="005D20BC">
              <w:t>SK09 1100 0000 0029 2212 3014</w:t>
            </w:r>
          </w:p>
        </w:tc>
      </w:tr>
      <w:tr w:rsidR="003102D6" w:rsidRPr="00F83D9A" w14:paraId="4A6177CC" w14:textId="77777777" w:rsidTr="6357AA6F">
        <w:trPr>
          <w:trHeight w:val="303"/>
          <w:jc w:val="center"/>
        </w:trPr>
        <w:tc>
          <w:tcPr>
            <w:tcW w:w="2551" w:type="dxa"/>
            <w:shd w:val="clear" w:color="auto" w:fill="auto"/>
            <w:vAlign w:val="center"/>
          </w:tcPr>
          <w:p w14:paraId="58071C1F" w14:textId="77777777" w:rsidR="003102D6" w:rsidRPr="00F83D9A" w:rsidRDefault="003102D6" w:rsidP="00F71875">
            <w:pPr>
              <w:pStyle w:val="Bezriadkovania1"/>
              <w:rPr>
                <w:bCs/>
              </w:rPr>
            </w:pPr>
            <w:r w:rsidRPr="00F83D9A">
              <w:rPr>
                <w:bCs/>
              </w:rPr>
              <w:t>BIC:</w:t>
            </w:r>
          </w:p>
        </w:tc>
        <w:tc>
          <w:tcPr>
            <w:tcW w:w="6272" w:type="dxa"/>
            <w:shd w:val="clear" w:color="auto" w:fill="auto"/>
            <w:vAlign w:val="center"/>
          </w:tcPr>
          <w:p w14:paraId="23CEAA21" w14:textId="77777777" w:rsidR="003102D6" w:rsidRPr="00F83D9A" w:rsidRDefault="003102D6" w:rsidP="00F71875">
            <w:pPr>
              <w:pStyle w:val="Bezriadkovania1"/>
            </w:pPr>
            <w:r>
              <w:t>TATRSKBX</w:t>
            </w:r>
          </w:p>
        </w:tc>
      </w:tr>
      <w:tr w:rsidR="003102D6" w:rsidRPr="00F83D9A" w14:paraId="0CFA8522" w14:textId="77777777" w:rsidTr="6357AA6F">
        <w:trPr>
          <w:trHeight w:val="303"/>
          <w:jc w:val="center"/>
        </w:trPr>
        <w:tc>
          <w:tcPr>
            <w:tcW w:w="2551" w:type="dxa"/>
            <w:shd w:val="clear" w:color="auto" w:fill="auto"/>
            <w:vAlign w:val="center"/>
          </w:tcPr>
          <w:p w14:paraId="183DB5B6" w14:textId="77777777" w:rsidR="003102D6" w:rsidRPr="00F83D9A" w:rsidRDefault="003102D6" w:rsidP="00F71875">
            <w:pPr>
              <w:pStyle w:val="Bezriadkovania1"/>
              <w:rPr>
                <w:bCs/>
              </w:rPr>
            </w:pPr>
            <w:r w:rsidRPr="00F83D9A">
              <w:rPr>
                <w:bCs/>
              </w:rPr>
              <w:t>Obchodný register:</w:t>
            </w:r>
          </w:p>
        </w:tc>
        <w:tc>
          <w:tcPr>
            <w:tcW w:w="6272" w:type="dxa"/>
            <w:shd w:val="clear" w:color="auto" w:fill="auto"/>
            <w:vAlign w:val="center"/>
          </w:tcPr>
          <w:p w14:paraId="1270D07A" w14:textId="3D05FDF5" w:rsidR="003102D6" w:rsidRPr="00F83D9A" w:rsidRDefault="00AF4CE8" w:rsidP="00F71875">
            <w:pPr>
              <w:pStyle w:val="Bezriadkovania1"/>
            </w:pPr>
            <w:r>
              <w:t>Mestského</w:t>
            </w:r>
            <w:r w:rsidR="003102D6">
              <w:t xml:space="preserve"> súdu Bratislava </w:t>
            </w:r>
            <w:r>
              <w:t>II</w:t>
            </w:r>
            <w:r w:rsidR="003102D6">
              <w:t>I, Oddiel: Sa, Vložka č. 5087/B</w:t>
            </w:r>
          </w:p>
        </w:tc>
      </w:tr>
    </w:tbl>
    <w:p w14:paraId="6EA9B7B0" w14:textId="7BF3ADEA" w:rsidR="00750383" w:rsidRDefault="00750383" w:rsidP="00750383">
      <w:pPr>
        <w:pStyle w:val="Bezriadkovania"/>
      </w:pPr>
    </w:p>
    <w:p w14:paraId="4E63D23C" w14:textId="77777777" w:rsidR="003102D6" w:rsidRDefault="003102D6" w:rsidP="00750383">
      <w:pPr>
        <w:pStyle w:val="Bezriadkovania"/>
      </w:pPr>
    </w:p>
    <w:p w14:paraId="7FF8D12C" w14:textId="77777777" w:rsidR="00750383" w:rsidRDefault="00750383" w:rsidP="00750383">
      <w:pPr>
        <w:pStyle w:val="Bezriadkovania"/>
      </w:pPr>
      <w:r>
        <w:t>(ďalej len „</w:t>
      </w:r>
      <w:r>
        <w:rPr>
          <w:b/>
        </w:rPr>
        <w:t>OKTE, a.s.</w:t>
      </w:r>
      <w:r>
        <w:t>“, resp. „</w:t>
      </w:r>
      <w:r w:rsidRPr="00CC34A3">
        <w:rPr>
          <w:b/>
        </w:rPr>
        <w:t>Zúčtovateľ odchýlok</w:t>
      </w:r>
      <w:r>
        <w:t>“)</w:t>
      </w:r>
    </w:p>
    <w:p w14:paraId="40FDD035" w14:textId="7F028817" w:rsidR="00657AF0" w:rsidRDefault="00750383" w:rsidP="00D93C56">
      <w:pPr>
        <w:pStyle w:val="Bezriadkovania"/>
      </w:pPr>
      <w:r>
        <w:t>(ďalej spoločne aj ako „</w:t>
      </w:r>
      <w:r w:rsidRPr="00D01C25">
        <w:rPr>
          <w:b/>
        </w:rPr>
        <w:t>Zmluvné strany</w:t>
      </w:r>
      <w:r>
        <w:t xml:space="preserve">“) </w:t>
      </w:r>
    </w:p>
    <w:p w14:paraId="1F2BD5EA" w14:textId="77777777" w:rsidR="00657AF0" w:rsidRDefault="00657AF0">
      <w:pPr>
        <w:spacing w:after="0" w:line="240" w:lineRule="auto"/>
      </w:pPr>
      <w:r>
        <w:br w:type="page"/>
      </w:r>
    </w:p>
    <w:p w14:paraId="64295BB1" w14:textId="77777777" w:rsidR="00B916B8" w:rsidRDefault="00B916B8" w:rsidP="0027256B">
      <w:pPr>
        <w:pStyle w:val="Nadpis2"/>
        <w:numPr>
          <w:ilvl w:val="0"/>
          <w:numId w:val="3"/>
        </w:numPr>
        <w:spacing w:after="120"/>
        <w:jc w:val="center"/>
      </w:pPr>
      <w:r>
        <w:lastRenderedPageBreak/>
        <w:t>Článok</w:t>
      </w:r>
    </w:p>
    <w:p w14:paraId="21AF785C" w14:textId="77777777" w:rsidR="00B916B8" w:rsidRDefault="00B916B8" w:rsidP="0027256B">
      <w:pPr>
        <w:pStyle w:val="Nadpis2"/>
        <w:spacing w:after="120"/>
        <w:jc w:val="center"/>
      </w:pPr>
      <w:r>
        <w:t>Preambula</w:t>
      </w:r>
    </w:p>
    <w:p w14:paraId="63A919D7" w14:textId="77777777" w:rsidR="00B916B8" w:rsidRPr="00943B45" w:rsidRDefault="00B916B8" w:rsidP="00D93C56">
      <w:pPr>
        <w:pStyle w:val="Bezriadkovania"/>
        <w:numPr>
          <w:ilvl w:val="1"/>
          <w:numId w:val="3"/>
        </w:numPr>
        <w:spacing w:before="120" w:after="120"/>
        <w:jc w:val="both"/>
      </w:pPr>
      <w:r>
        <w:t>Organizátor krátkodobého trhu s elektrinou - OKTE, a.s.</w:t>
      </w:r>
      <w:r w:rsidRPr="00943B45">
        <w:t xml:space="preserve"> je podľa zákona č. 251/2012 </w:t>
      </w:r>
      <w:proofErr w:type="spellStart"/>
      <w:r w:rsidRPr="00943B45">
        <w:t>Z.z</w:t>
      </w:r>
      <w:proofErr w:type="spellEnd"/>
      <w:r w:rsidRPr="00943B45">
        <w:t>.</w:t>
      </w:r>
      <w:r>
        <w:t xml:space="preserve"> o </w:t>
      </w:r>
      <w:r w:rsidRPr="00943B45">
        <w:t>energetike</w:t>
      </w:r>
      <w:r>
        <w:t xml:space="preserve"> a o </w:t>
      </w:r>
      <w:r w:rsidRPr="00943B45">
        <w:t>zmene</w:t>
      </w:r>
      <w:r>
        <w:t xml:space="preserve"> a </w:t>
      </w:r>
      <w:r w:rsidRPr="00943B45">
        <w:t>doplnení niektorých zákonov</w:t>
      </w:r>
      <w:r w:rsidR="008A1A88">
        <w:t>, v znení neskorších predpisov</w:t>
      </w:r>
      <w:r w:rsidRPr="00943B45">
        <w:t xml:space="preserve"> (ďalej len „Zákon</w:t>
      </w:r>
      <w:r>
        <w:t xml:space="preserve"> o </w:t>
      </w:r>
      <w:r w:rsidRPr="00943B45">
        <w:t xml:space="preserve">energetike“) povinný na </w:t>
      </w:r>
      <w:r w:rsidRPr="00943B45">
        <w:rPr>
          <w:bCs/>
        </w:rPr>
        <w:t>základe</w:t>
      </w:r>
      <w:r w:rsidRPr="00943B45">
        <w:t xml:space="preserve"> údajov poskytnutých prevádzkovateľom prenosovej sústavy(ďalej len „Prevádzkovateľ PS“, alebo „SEPS, a.s.“) zabezpečovať zúčtovanie</w:t>
      </w:r>
      <w:r>
        <w:t xml:space="preserve"> a </w:t>
      </w:r>
      <w:r w:rsidRPr="00943B45">
        <w:t xml:space="preserve">vysporiadanie regulačnej elektriny. Na základe tohto ustanovenia majú </w:t>
      </w:r>
      <w:r>
        <w:t>OKTE, a.s. a </w:t>
      </w:r>
      <w:r w:rsidRPr="00943B45">
        <w:t>Prevádzkovateľ PS uzatvorenú zmluvu, ktorej predmetom je povinnosť Prevádzkovateľa PS poskytovať údaje</w:t>
      </w:r>
      <w:r>
        <w:t xml:space="preserve"> o </w:t>
      </w:r>
      <w:r w:rsidRPr="00943B45">
        <w:t>vyhodnotení objemu</w:t>
      </w:r>
      <w:r>
        <w:t xml:space="preserve"> a </w:t>
      </w:r>
      <w:r w:rsidRPr="00943B45">
        <w:t xml:space="preserve">ocenenia dodávok regulačnej elektriny </w:t>
      </w:r>
      <w:r>
        <w:t>OKTE, a.s.</w:t>
      </w:r>
      <w:r w:rsidRPr="00943B45">
        <w:t xml:space="preserve"> na účely ich zúčtovania</w:t>
      </w:r>
      <w:r>
        <w:t xml:space="preserve"> a </w:t>
      </w:r>
      <w:r w:rsidRPr="00943B45">
        <w:t>finančného vysporiadania.</w:t>
      </w:r>
    </w:p>
    <w:p w14:paraId="695144B0" w14:textId="77777777" w:rsidR="00B916B8" w:rsidRPr="00943B45" w:rsidRDefault="00B916B8" w:rsidP="00D93C56">
      <w:pPr>
        <w:pStyle w:val="Bezriadkovania"/>
        <w:numPr>
          <w:ilvl w:val="1"/>
          <w:numId w:val="3"/>
        </w:numPr>
        <w:spacing w:before="120" w:after="120"/>
        <w:jc w:val="both"/>
      </w:pPr>
      <w:r w:rsidRPr="00943B45">
        <w:t>Táto Zmluva sa riadi najmä ustanoveniami Zákona</w:t>
      </w:r>
      <w:r>
        <w:t xml:space="preserve"> o </w:t>
      </w:r>
      <w:r w:rsidRPr="00943B45">
        <w:t xml:space="preserve">energetike, zákona č. 250/2012 </w:t>
      </w:r>
      <w:proofErr w:type="spellStart"/>
      <w:r w:rsidRPr="00943B45">
        <w:t>Z.z</w:t>
      </w:r>
      <w:proofErr w:type="spellEnd"/>
      <w:r w:rsidRPr="00943B45">
        <w:t>.</w:t>
      </w:r>
      <w:r>
        <w:t xml:space="preserve"> o </w:t>
      </w:r>
      <w:r w:rsidRPr="00943B45">
        <w:t>regulácii</w:t>
      </w:r>
      <w:r>
        <w:t xml:space="preserve"> v </w:t>
      </w:r>
      <w:r w:rsidRPr="00943B45">
        <w:t>sieťových odvetviach (ďalej len „Zákon</w:t>
      </w:r>
      <w:r>
        <w:t xml:space="preserve"> o </w:t>
      </w:r>
      <w:r w:rsidRPr="00943B45">
        <w:t xml:space="preserve">regulácii“), Zákona č. 513/1991 </w:t>
      </w:r>
      <w:proofErr w:type="spellStart"/>
      <w:r w:rsidRPr="00943B45">
        <w:t>Z.z</w:t>
      </w:r>
      <w:proofErr w:type="spellEnd"/>
      <w:r w:rsidRPr="00943B45">
        <w:t>. obchodný zákonník</w:t>
      </w:r>
      <w:r>
        <w:t xml:space="preserve"> v </w:t>
      </w:r>
      <w:r w:rsidRPr="00943B45">
        <w:t xml:space="preserve">znení neskorších predpisov (ďalej len „Obchodný zákonník“), príslušnými vyhláškami, platnými Rozhodnutiami Úradu pre reguláciu sieťových odvetví (ďalej len „ÚRSO“), zákonom č. 222/2004 </w:t>
      </w:r>
      <w:proofErr w:type="spellStart"/>
      <w:r w:rsidRPr="00943B45">
        <w:t>Z.z</w:t>
      </w:r>
      <w:proofErr w:type="spellEnd"/>
      <w:r w:rsidRPr="00943B45">
        <w:t>.</w:t>
      </w:r>
      <w:r>
        <w:t xml:space="preserve"> o </w:t>
      </w:r>
      <w:r w:rsidRPr="00943B45">
        <w:t>dani</w:t>
      </w:r>
      <w:r>
        <w:t xml:space="preserve"> z </w:t>
      </w:r>
      <w:r w:rsidRPr="00943B45">
        <w:t>pridanej hodnoty</w:t>
      </w:r>
      <w:r>
        <w:t xml:space="preserve"> v </w:t>
      </w:r>
      <w:r w:rsidRPr="00943B45">
        <w:t>znení neskorších predpisov (ďalej len „Zákon</w:t>
      </w:r>
      <w:r>
        <w:t xml:space="preserve"> o </w:t>
      </w:r>
      <w:r w:rsidRPr="00943B45">
        <w:t xml:space="preserve">DPH“), Prevádzkovým poriadkom </w:t>
      </w:r>
      <w:r>
        <w:t>OKTE, a.s.</w:t>
      </w:r>
      <w:r w:rsidRPr="00943B45">
        <w:t xml:space="preserve"> (ďalej len „PP </w:t>
      </w:r>
      <w:r>
        <w:t>OKTE</w:t>
      </w:r>
      <w:r w:rsidRPr="00943B45">
        <w:t>“)</w:t>
      </w:r>
      <w:r>
        <w:t>, Pravidlami prevádzky informačných systémov organizátora trhu (ďalej len „</w:t>
      </w:r>
      <w:r w:rsidRPr="008C6AAC">
        <w:t xml:space="preserve">Pravidlá </w:t>
      </w:r>
      <w:r>
        <w:t>IS OKTE“)</w:t>
      </w:r>
      <w:r w:rsidR="00224EE9">
        <w:t>,</w:t>
      </w:r>
      <w:r>
        <w:t xml:space="preserve"> </w:t>
      </w:r>
      <w:r w:rsidR="00224EE9" w:rsidRPr="009C3F64">
        <w:rPr>
          <w:rFonts w:cs="Arial"/>
          <w:color w:val="000000"/>
        </w:rPr>
        <w:t>vyhlášk</w:t>
      </w:r>
      <w:r w:rsidR="00224EE9">
        <w:rPr>
          <w:rFonts w:cs="Arial"/>
          <w:color w:val="000000"/>
        </w:rPr>
        <w:t>ou</w:t>
      </w:r>
      <w:r w:rsidR="00224EE9" w:rsidRPr="009C3F64">
        <w:rPr>
          <w:rFonts w:cs="Arial"/>
          <w:color w:val="000000"/>
        </w:rPr>
        <w:t xml:space="preserve"> č. 24/2013 </w:t>
      </w:r>
      <w:proofErr w:type="spellStart"/>
      <w:r w:rsidR="00224EE9" w:rsidRPr="009C3F64">
        <w:rPr>
          <w:rFonts w:cs="Arial"/>
          <w:color w:val="000000"/>
        </w:rPr>
        <w:t>Z.z</w:t>
      </w:r>
      <w:proofErr w:type="spellEnd"/>
      <w:r w:rsidR="00224EE9" w:rsidRPr="009C3F64">
        <w:rPr>
          <w:rFonts w:cs="Arial"/>
          <w:color w:val="000000"/>
        </w:rPr>
        <w:t>., ktorou sa ustanovujú pravidlá pre fungovanie vnútorného trhu s elektrinou a pravidlá pre fungovanie vnútorného trhu s</w:t>
      </w:r>
      <w:r w:rsidR="00224EE9">
        <w:rPr>
          <w:rFonts w:cs="Arial"/>
          <w:color w:val="000000"/>
        </w:rPr>
        <w:t> </w:t>
      </w:r>
      <w:r w:rsidR="00224EE9" w:rsidRPr="009C3F64">
        <w:rPr>
          <w:rFonts w:cs="Arial"/>
          <w:color w:val="000000"/>
        </w:rPr>
        <w:t>plynom</w:t>
      </w:r>
      <w:r w:rsidR="00224EE9">
        <w:rPr>
          <w:rFonts w:cs="Arial"/>
          <w:color w:val="000000"/>
        </w:rPr>
        <w:t xml:space="preserve"> </w:t>
      </w:r>
      <w:r w:rsidR="00224EE9" w:rsidRPr="009C3F64">
        <w:rPr>
          <w:rFonts w:cs="Arial"/>
          <w:color w:val="000000"/>
        </w:rPr>
        <w:t>(ďalej len „Pravidlá trhu“)</w:t>
      </w:r>
      <w:r w:rsidRPr="00943B45">
        <w:t>.</w:t>
      </w:r>
    </w:p>
    <w:p w14:paraId="6DC5103E" w14:textId="77777777" w:rsidR="00B916B8" w:rsidRDefault="00B916B8" w:rsidP="00D93C56">
      <w:pPr>
        <w:pStyle w:val="Bezriadkovania"/>
        <w:numPr>
          <w:ilvl w:val="1"/>
          <w:numId w:val="3"/>
        </w:numPr>
        <w:spacing w:before="120" w:after="120"/>
        <w:jc w:val="both"/>
      </w:pPr>
      <w:r w:rsidRPr="00943B45">
        <w:t>Terminológia</w:t>
      </w:r>
      <w:r>
        <w:t xml:space="preserve"> a </w:t>
      </w:r>
      <w:r w:rsidRPr="00943B45">
        <w:t>odborné pojmy používané</w:t>
      </w:r>
      <w:r>
        <w:t xml:space="preserve"> v </w:t>
      </w:r>
      <w:r w:rsidRPr="00943B45">
        <w:t>tejto Zmluve vychádzajú zo Zákona</w:t>
      </w:r>
      <w:r>
        <w:t xml:space="preserve"> o </w:t>
      </w:r>
      <w:r w:rsidRPr="00943B45">
        <w:t>energetike, Zákona</w:t>
      </w:r>
      <w:r>
        <w:t xml:space="preserve"> o </w:t>
      </w:r>
      <w:r w:rsidRPr="00943B45">
        <w:t xml:space="preserve">regulácii, Pravidiel trhu, Vyhlášok MH SR, </w:t>
      </w:r>
      <w:r>
        <w:t>r</w:t>
      </w:r>
      <w:r w:rsidRPr="00943B45">
        <w:t>ozhodnutí ÚRSO,</w:t>
      </w:r>
      <w:r>
        <w:t xml:space="preserve"> a </w:t>
      </w:r>
      <w:r w:rsidRPr="00943B45">
        <w:t xml:space="preserve">PP </w:t>
      </w:r>
      <w:r>
        <w:t>OKTE.</w:t>
      </w:r>
    </w:p>
    <w:p w14:paraId="3C0D017A" w14:textId="77777777" w:rsidR="00B916B8" w:rsidRDefault="00B916B8" w:rsidP="00D93C56">
      <w:pPr>
        <w:pStyle w:val="Bezriadkovania"/>
        <w:numPr>
          <w:ilvl w:val="1"/>
          <w:numId w:val="3"/>
        </w:numPr>
        <w:spacing w:before="120" w:after="120"/>
        <w:jc w:val="both"/>
      </w:pPr>
      <w:r>
        <w:t>Táto Zmluva sa uzatvára s poskytovateľom podporných služieb a dodávateľom regulačnej elektriny,</w:t>
      </w:r>
      <w:r w:rsidR="00224EE9">
        <w:t xml:space="preserve"> </w:t>
      </w:r>
      <w:r>
        <w:t>ktorý má s Prevádzkovateľom PS uzatvorenú Rámcovú zmluvu o poskytovaní podporných služieb a dodávke regulačnej elektriny alebo dodávateľom negarantovanej regulačnej elektriny, ktorý má s Prevádzkovateľom PS uzatvorenú Rámcovú zmluvu o dodávke negarantovanej elektriny.</w:t>
      </w:r>
    </w:p>
    <w:p w14:paraId="59FE6EF9" w14:textId="77777777" w:rsidR="00B916B8" w:rsidRDefault="00B916B8" w:rsidP="0027256B">
      <w:pPr>
        <w:pStyle w:val="Bezriadkovania"/>
        <w:spacing w:before="120" w:after="120"/>
      </w:pPr>
    </w:p>
    <w:p w14:paraId="10F43581" w14:textId="77777777" w:rsidR="00B916B8" w:rsidRDefault="00B916B8" w:rsidP="0027256B">
      <w:pPr>
        <w:pStyle w:val="Nadpis2"/>
        <w:numPr>
          <w:ilvl w:val="0"/>
          <w:numId w:val="3"/>
        </w:numPr>
        <w:spacing w:after="120"/>
        <w:jc w:val="center"/>
      </w:pPr>
      <w:r>
        <w:t>Článok</w:t>
      </w:r>
    </w:p>
    <w:p w14:paraId="03B550B0" w14:textId="77777777" w:rsidR="00B916B8" w:rsidRDefault="00B916B8" w:rsidP="0027256B">
      <w:pPr>
        <w:pStyle w:val="Nadpis2"/>
        <w:spacing w:after="120"/>
        <w:jc w:val="center"/>
      </w:pPr>
      <w:r>
        <w:t>Predmet Zmluvy</w:t>
      </w:r>
    </w:p>
    <w:p w14:paraId="5DE5139A" w14:textId="77777777" w:rsidR="00B916B8" w:rsidRDefault="00B916B8" w:rsidP="00D93C56">
      <w:pPr>
        <w:pStyle w:val="Bezriadkovania"/>
        <w:numPr>
          <w:ilvl w:val="1"/>
          <w:numId w:val="3"/>
        </w:numPr>
        <w:spacing w:before="120" w:after="120"/>
        <w:jc w:val="both"/>
      </w:pPr>
      <w:r>
        <w:t>Predmetom tejto Zmluvy je zúčtovanie regulačnej elektriny v každej obchodnej hodine (v štvrťhodinovom rozlíšení zúčtovacieho obdobia Dodávateľovi RE v rozsahu, čase a za podmienok uvedených v platných právnych predpisoch, v platnom PP OKTE a za podmienok dohodnutých touto Zmluvou.</w:t>
      </w:r>
    </w:p>
    <w:p w14:paraId="382DE678" w14:textId="70FE132C" w:rsidR="00B916B8" w:rsidRDefault="00B916B8" w:rsidP="00D93C56">
      <w:pPr>
        <w:pStyle w:val="Bezriadkovania"/>
        <w:numPr>
          <w:ilvl w:val="1"/>
          <w:numId w:val="3"/>
        </w:numPr>
        <w:spacing w:before="120" w:after="120"/>
        <w:jc w:val="both"/>
      </w:pPr>
      <w:r>
        <w:t xml:space="preserve">Zmluvné strany sa zaväzujú vzájomne vysporiadať platby za regulačnú elektrinu, dodanú Prevádzkovateľovi PS na základe údajov o množstve a cene regulačnej elektriny, poskytnutých Prevádzkovateľom PS, a to postupom podľa tejto Zmluvy. Dodávateľ RE sa touto zmluvou zaväzuje uhradiť </w:t>
      </w:r>
      <w:proofErr w:type="spellStart"/>
      <w:r>
        <w:t>Zúčtovateľovi</w:t>
      </w:r>
      <w:proofErr w:type="spellEnd"/>
      <w:r>
        <w:t xml:space="preserve"> odchýlok platbu za </w:t>
      </w:r>
      <w:r w:rsidRPr="00151953">
        <w:t xml:space="preserve">činnosti uvedené v Článku </w:t>
      </w:r>
      <w:r>
        <w:fldChar w:fldCharType="begin"/>
      </w:r>
      <w:r>
        <w:instrText xml:space="preserve"> REF _Ref372013909 \r \h </w:instrText>
      </w:r>
      <w:r>
        <w:fldChar w:fldCharType="separate"/>
      </w:r>
      <w:r w:rsidR="008A5FC9">
        <w:t>V</w:t>
      </w:r>
      <w:r>
        <w:fldChar w:fldCharType="end"/>
      </w:r>
      <w:r w:rsidRPr="00CB4E44">
        <w:t xml:space="preserve"> </w:t>
      </w:r>
      <w:r w:rsidRPr="00151953">
        <w:t>odseku</w:t>
      </w:r>
      <w:r>
        <w:t xml:space="preserve"> </w:t>
      </w:r>
      <w:r>
        <w:fldChar w:fldCharType="begin"/>
      </w:r>
      <w:r>
        <w:instrText xml:space="preserve"> REF _Ref372013920 \n \h </w:instrText>
      </w:r>
      <w:r>
        <w:fldChar w:fldCharType="separate"/>
      </w:r>
      <w:r w:rsidR="008A5FC9">
        <w:t>1</w:t>
      </w:r>
      <w:r>
        <w:fldChar w:fldCharType="end"/>
      </w:r>
      <w:r>
        <w:t xml:space="preserve">. </w:t>
      </w:r>
    </w:p>
    <w:p w14:paraId="53EF562B" w14:textId="77777777" w:rsidR="00D93C56" w:rsidRDefault="00D93C56" w:rsidP="0027256B">
      <w:pPr>
        <w:pStyle w:val="Bezriadkovania"/>
        <w:spacing w:before="120" w:after="120"/>
      </w:pPr>
    </w:p>
    <w:p w14:paraId="1FC9A1E4" w14:textId="77777777" w:rsidR="00C13B7C" w:rsidRDefault="00C13B7C" w:rsidP="0027256B">
      <w:pPr>
        <w:pStyle w:val="Bezriadkovania"/>
        <w:spacing w:before="120" w:after="120"/>
      </w:pPr>
    </w:p>
    <w:p w14:paraId="15545B62" w14:textId="77777777" w:rsidR="00B916B8" w:rsidRDefault="00B916B8" w:rsidP="0027256B">
      <w:pPr>
        <w:pStyle w:val="Nadpis2"/>
        <w:numPr>
          <w:ilvl w:val="0"/>
          <w:numId w:val="3"/>
        </w:numPr>
        <w:spacing w:after="120"/>
        <w:jc w:val="center"/>
      </w:pPr>
      <w:r>
        <w:lastRenderedPageBreak/>
        <w:t>Článok</w:t>
      </w:r>
    </w:p>
    <w:p w14:paraId="604270E0" w14:textId="77777777" w:rsidR="00B916B8" w:rsidRDefault="00B916B8" w:rsidP="0027256B">
      <w:pPr>
        <w:pStyle w:val="Nadpis2"/>
        <w:spacing w:after="120"/>
        <w:jc w:val="center"/>
      </w:pPr>
      <w:r>
        <w:t>Regulačná elektrina</w:t>
      </w:r>
    </w:p>
    <w:p w14:paraId="6FF13D01" w14:textId="77777777" w:rsidR="00B916B8" w:rsidRDefault="00B916B8" w:rsidP="00D93C56">
      <w:pPr>
        <w:pStyle w:val="Bezriadkovania"/>
        <w:numPr>
          <w:ilvl w:val="1"/>
          <w:numId w:val="3"/>
        </w:numPr>
        <w:spacing w:before="120" w:after="120"/>
        <w:jc w:val="both"/>
      </w:pPr>
      <w:r>
        <w:t>Regulačná elektrina zo zariadení poskytujúcich podporné služby je dodaná na základe aktivácie Podporných služieb. Aktivácia sa realizuje riadiacimi signálmi Riadiaceho informačného systému Prevádzkovateľa PS alebo príkazmi dispečera Prevádzkovateľa PS. Regulačná elektrina (ďalej len „RE“) je dodaná v rozsahu týchto signálov alebo príkazov.</w:t>
      </w:r>
    </w:p>
    <w:p w14:paraId="14BE4454" w14:textId="77777777" w:rsidR="00B916B8" w:rsidRDefault="00B916B8" w:rsidP="00D93C56">
      <w:pPr>
        <w:pStyle w:val="Bezriadkovania"/>
        <w:numPr>
          <w:ilvl w:val="1"/>
          <w:numId w:val="3"/>
        </w:numPr>
        <w:spacing w:before="120" w:after="120"/>
        <w:jc w:val="both"/>
        <w:rPr>
          <w:noProof/>
        </w:rPr>
      </w:pPr>
      <w:r>
        <w:t>Negarantovaná regulačná elektrina je elektrina dodaná Prevádzkovateľovi PS na základe platnej Rámcovej zmluvy o dodávke negarantovanej elektriny.</w:t>
      </w:r>
    </w:p>
    <w:p w14:paraId="625012D2" w14:textId="77777777" w:rsidR="00D93C56" w:rsidRDefault="00D93C56" w:rsidP="0027256B">
      <w:pPr>
        <w:pStyle w:val="Bezriadkovania"/>
        <w:spacing w:before="120" w:after="120"/>
      </w:pPr>
    </w:p>
    <w:p w14:paraId="34EEE6FE" w14:textId="77777777" w:rsidR="00B916B8" w:rsidRDefault="00B916B8" w:rsidP="0027256B">
      <w:pPr>
        <w:pStyle w:val="Nadpis2"/>
        <w:numPr>
          <w:ilvl w:val="0"/>
          <w:numId w:val="3"/>
        </w:numPr>
        <w:spacing w:after="120"/>
        <w:jc w:val="center"/>
      </w:pPr>
      <w:r>
        <w:t>Článok</w:t>
      </w:r>
    </w:p>
    <w:p w14:paraId="4C207CE8" w14:textId="77777777" w:rsidR="00B916B8" w:rsidRDefault="00B916B8" w:rsidP="0027256B">
      <w:pPr>
        <w:pStyle w:val="Nadpis2"/>
        <w:spacing w:after="120"/>
        <w:jc w:val="center"/>
      </w:pPr>
      <w:r>
        <w:t>Vyhodnotenie a ocenenie regulačnej elektriny</w:t>
      </w:r>
    </w:p>
    <w:p w14:paraId="1564B9EF" w14:textId="77777777" w:rsidR="00B916B8" w:rsidRDefault="00B916B8" w:rsidP="00D93C56">
      <w:pPr>
        <w:pStyle w:val="Bezriadkovania"/>
        <w:numPr>
          <w:ilvl w:val="1"/>
          <w:numId w:val="3"/>
        </w:numPr>
        <w:spacing w:before="120" w:after="120"/>
        <w:jc w:val="both"/>
      </w:pPr>
      <w:r>
        <w:t>Výpočet objemu dodanej regulačnej elektriny a jej ocenenie vykonáva Prevádzkovateľ PS.</w:t>
      </w:r>
    </w:p>
    <w:p w14:paraId="543DBDA5" w14:textId="77777777" w:rsidR="00B916B8" w:rsidRDefault="00B916B8" w:rsidP="00D93C56">
      <w:pPr>
        <w:pStyle w:val="Bezriadkovania"/>
        <w:numPr>
          <w:ilvl w:val="1"/>
          <w:numId w:val="3"/>
        </w:numPr>
        <w:spacing w:before="120" w:after="120"/>
        <w:jc w:val="both"/>
      </w:pPr>
      <w:r>
        <w:t xml:space="preserve">Cena regulačnej elektriny Dodávateľa RE je pre danú obchodnú </w:t>
      </w:r>
      <w:r w:rsidRPr="00943B45">
        <w:t xml:space="preserve">hodinu </w:t>
      </w:r>
      <w:r>
        <w:t xml:space="preserve">(v štvrťhodinovom rozlíšení) </w:t>
      </w:r>
      <w:r w:rsidRPr="00943B45">
        <w:t>určená podľa Pravidiel trhu. Údaje</w:t>
      </w:r>
      <w:r>
        <w:t xml:space="preserve"> o </w:t>
      </w:r>
      <w:r w:rsidRPr="00943B45">
        <w:t>množstve</w:t>
      </w:r>
      <w:r>
        <w:t xml:space="preserve"> a </w:t>
      </w:r>
      <w:r w:rsidRPr="00943B45">
        <w:t xml:space="preserve">cene regulačnej </w:t>
      </w:r>
      <w:r>
        <w:t>elektriny (v štvrťhodinovom rozlíšení)</w:t>
      </w:r>
      <w:r w:rsidRPr="00943B45">
        <w:t xml:space="preserve"> Dodávateľa RE sú </w:t>
      </w:r>
      <w:proofErr w:type="spellStart"/>
      <w:r>
        <w:t>Zúčtovateľovi</w:t>
      </w:r>
      <w:proofErr w:type="spellEnd"/>
      <w:r>
        <w:t xml:space="preserve"> odchýlok</w:t>
      </w:r>
      <w:r w:rsidRPr="00943B45">
        <w:t xml:space="preserve"> odovzdávané Prevádzkovateľom PS</w:t>
      </w:r>
      <w:r>
        <w:t xml:space="preserve"> v </w:t>
      </w:r>
      <w:r w:rsidRPr="00943B45">
        <w:t>termínoch definovaných</w:t>
      </w:r>
      <w:r>
        <w:t xml:space="preserve"> v </w:t>
      </w:r>
      <w:r w:rsidRPr="00943B45">
        <w:t>Pravidlách trhu na základe zmluvy uzavretej medzi Prevádzkovateľom PS</w:t>
      </w:r>
      <w:r>
        <w:t xml:space="preserve"> a </w:t>
      </w:r>
      <w:proofErr w:type="spellStart"/>
      <w:r w:rsidRPr="00943B45">
        <w:t>Zúčtovateľom</w:t>
      </w:r>
      <w:proofErr w:type="spellEnd"/>
      <w:r w:rsidRPr="00943B45">
        <w:t xml:space="preserve"> odchýlok</w:t>
      </w:r>
      <w:r>
        <w:t xml:space="preserve"> a v zmysle Zákona o energetike.</w:t>
      </w:r>
    </w:p>
    <w:p w14:paraId="5FA14924" w14:textId="77777777" w:rsidR="00D93C56" w:rsidRDefault="00D93C56" w:rsidP="0027256B">
      <w:pPr>
        <w:pStyle w:val="Bezriadkovania"/>
        <w:spacing w:before="120" w:after="120"/>
      </w:pPr>
    </w:p>
    <w:p w14:paraId="497FE0FD" w14:textId="77777777" w:rsidR="00B916B8" w:rsidRDefault="00B916B8" w:rsidP="0027256B">
      <w:pPr>
        <w:pStyle w:val="Nadpis2"/>
        <w:numPr>
          <w:ilvl w:val="0"/>
          <w:numId w:val="3"/>
        </w:numPr>
        <w:spacing w:after="120"/>
        <w:jc w:val="center"/>
      </w:pPr>
      <w:bookmarkStart w:id="0" w:name="_Ref372013909"/>
      <w:r>
        <w:t>Článok</w:t>
      </w:r>
      <w:bookmarkEnd w:id="0"/>
    </w:p>
    <w:p w14:paraId="49E72DDD" w14:textId="77777777" w:rsidR="00B916B8" w:rsidRDefault="00B916B8" w:rsidP="0027256B">
      <w:pPr>
        <w:pStyle w:val="Nadpis2"/>
        <w:spacing w:after="120"/>
        <w:jc w:val="center"/>
      </w:pPr>
      <w:r>
        <w:t>Platobné a fakturačné podmienky regulačnej elektriny</w:t>
      </w:r>
    </w:p>
    <w:p w14:paraId="44D75CF6" w14:textId="77777777" w:rsidR="00B916B8" w:rsidRDefault="00B916B8" w:rsidP="00D93C56">
      <w:pPr>
        <w:pStyle w:val="Bezriadkovania"/>
        <w:numPr>
          <w:ilvl w:val="1"/>
          <w:numId w:val="3"/>
        </w:numPr>
        <w:spacing w:before="120" w:after="120"/>
        <w:jc w:val="both"/>
      </w:pPr>
      <w:bookmarkStart w:id="1" w:name="_Ref372013920"/>
      <w:r>
        <w:t xml:space="preserve">Ak má Dodávateľ RE prenesenú zodpovednosť na iný subjekt zúčtovania a nemá so </w:t>
      </w:r>
      <w:proofErr w:type="spellStart"/>
      <w:r>
        <w:t>Zúčtovateľom</w:t>
      </w:r>
      <w:proofErr w:type="spellEnd"/>
      <w:r>
        <w:t xml:space="preserve"> odchýlok uzavretú Zmluvu o zúčtovaní odchýlky, Zúčtovateľ odchýlok vystaví Dodávateľovi RE faktúry za činnosti spojené so zúčtovaním, vyhodnotením a vysporiadaním odchýlok podľa platného Rozhodnutia ÚRSO:</w:t>
      </w:r>
      <w:bookmarkEnd w:id="1"/>
      <w:r>
        <w:t xml:space="preserve"> </w:t>
      </w:r>
    </w:p>
    <w:p w14:paraId="151635DE" w14:textId="77777777" w:rsidR="0026418E" w:rsidRPr="00C75486" w:rsidRDefault="0026418E" w:rsidP="0026418E">
      <w:pPr>
        <w:pStyle w:val="Bezriadkovania"/>
        <w:numPr>
          <w:ilvl w:val="2"/>
          <w:numId w:val="3"/>
        </w:numPr>
        <w:spacing w:before="120" w:after="120"/>
        <w:jc w:val="both"/>
      </w:pPr>
      <w:bookmarkStart w:id="2" w:name="_Ref372016767"/>
      <w:r w:rsidRPr="002B5FDC">
        <w:t xml:space="preserve">za ročnú fixnú platbu v súlade s platným Rozhodnutím ÚRSO: </w:t>
      </w:r>
    </w:p>
    <w:p w14:paraId="101D39BA" w14:textId="77777777" w:rsidR="0026418E" w:rsidRPr="00C75486" w:rsidRDefault="00F74386" w:rsidP="00F74386">
      <w:pPr>
        <w:pStyle w:val="Bezriadkovania"/>
        <w:numPr>
          <w:ilvl w:val="3"/>
          <w:numId w:val="3"/>
        </w:numPr>
        <w:spacing w:before="120" w:after="120"/>
        <w:ind w:left="1276"/>
        <w:jc w:val="both"/>
      </w:pPr>
      <w:r w:rsidRPr="002B5FDC">
        <w:t xml:space="preserve">zálohovú faktúru </w:t>
      </w:r>
      <w:r>
        <w:t>za prvý kalendárny rok účinnosti Zmluvy</w:t>
      </w:r>
      <w:r w:rsidRPr="00DB13DC">
        <w:t xml:space="preserve"> do</w:t>
      </w:r>
      <w:r>
        <w:t> </w:t>
      </w:r>
      <w:r w:rsidRPr="00DB13DC">
        <w:t>5</w:t>
      </w:r>
      <w:r>
        <w:t> </w:t>
      </w:r>
      <w:r w:rsidRPr="00DB13DC">
        <w:t xml:space="preserve">pracovných dní </w:t>
      </w:r>
      <w:r>
        <w:t xml:space="preserve">od </w:t>
      </w:r>
      <w:r w:rsidRPr="00DB13DC">
        <w:t>doručen</w:t>
      </w:r>
      <w:r>
        <w:t>ia</w:t>
      </w:r>
      <w:r w:rsidRPr="00DB13DC">
        <w:t xml:space="preserve"> </w:t>
      </w:r>
      <w:r>
        <w:t xml:space="preserve">podpísanej Zmluvy poštou na adresu sídla </w:t>
      </w:r>
      <w:proofErr w:type="spellStart"/>
      <w:r w:rsidR="00D8694A">
        <w:t>Zúčtovateľa</w:t>
      </w:r>
      <w:proofErr w:type="spellEnd"/>
      <w:r w:rsidR="00D8694A">
        <w:t xml:space="preserve"> odchýlok</w:t>
      </w:r>
      <w:r w:rsidR="00D401FC" w:rsidRPr="00F74386">
        <w:t>;</w:t>
      </w:r>
      <w:r w:rsidR="0026418E" w:rsidRPr="002B5FDC">
        <w:t xml:space="preserve"> </w:t>
      </w:r>
    </w:p>
    <w:p w14:paraId="4C3C5143" w14:textId="77777777" w:rsidR="0026418E" w:rsidRPr="00F74386" w:rsidRDefault="00B25847" w:rsidP="00B25847">
      <w:pPr>
        <w:pStyle w:val="Bezriadkovania"/>
        <w:numPr>
          <w:ilvl w:val="3"/>
          <w:numId w:val="3"/>
        </w:numPr>
        <w:spacing w:before="120" w:after="120"/>
        <w:ind w:left="1276"/>
        <w:jc w:val="both"/>
      </w:pPr>
      <w:r w:rsidRPr="00B25847">
        <w:t xml:space="preserve">zálohovú faktúru za každý nasledujúci rok po prvom roku účinnosti zmluvy najneskôr 8 pracovných dní pred koncom kalendárneho roka predchádzajúceho roku, na ktorý sa ročná fixná platba vzťahuje, za podmienky, že bolo vydané platné rozhodnutie URSO pre obdobie, za ktoré sa zálohová faktúra vystavuje. Dodávateľ RE je povinný uhradiť platbu podľa predchádzajúcej vety tak, aby bola pripísaná na účet </w:t>
      </w:r>
      <w:proofErr w:type="spellStart"/>
      <w:r w:rsidRPr="00B25847">
        <w:t>Zúčtovateľa</w:t>
      </w:r>
      <w:proofErr w:type="spellEnd"/>
      <w:r w:rsidRPr="00B25847">
        <w:t xml:space="preserve"> odchýlok najneskôr tri dni pred koncom kalendárneho roka predchádzajúceho roku, na ktorý sa ročná fixná platba vzťahuje. Dodávateľovi RE bude zúčtovávaná regulačná elektrina za rok, na ktorý sa ročná fixná platba vzťahuje, až po pripísaní platby na účet </w:t>
      </w:r>
      <w:proofErr w:type="spellStart"/>
      <w:r w:rsidRPr="00B25847">
        <w:t>Zúčtovateľa</w:t>
      </w:r>
      <w:proofErr w:type="spellEnd"/>
      <w:r w:rsidRPr="00B25847">
        <w:t xml:space="preserve"> odchýlok</w:t>
      </w:r>
      <w:r w:rsidR="00D8694A">
        <w:t>.</w:t>
      </w:r>
    </w:p>
    <w:p w14:paraId="41065620" w14:textId="77777777" w:rsidR="00F74386" w:rsidRDefault="00D8694A" w:rsidP="00F74386">
      <w:pPr>
        <w:pStyle w:val="Bezriadkovania"/>
        <w:spacing w:before="120" w:after="120"/>
        <w:ind w:left="851"/>
        <w:jc w:val="both"/>
      </w:pPr>
      <w:r>
        <w:t>Zúčtovateľ odchýlok</w:t>
      </w:r>
      <w:r w:rsidR="00F74386">
        <w:t xml:space="preserve"> sprístupní zálohovú faktúru </w:t>
      </w:r>
      <w:r>
        <w:t>Dodávateľovi RE</w:t>
      </w:r>
      <w:r w:rsidR="00F74386">
        <w:t xml:space="preserve"> v IS OKTE a zašle ju e-mailom na adresu uvedenú v Prílohe č.1 tejto Zmluvy. Splatnosť zálohovej faktúry je 5 pracovných dní odo dňa jej sprístupnenia </w:t>
      </w:r>
      <w:r>
        <w:t>Dodávateľovi RE</w:t>
      </w:r>
      <w:r w:rsidR="00F74386">
        <w:t xml:space="preserve"> v IS OKTE.</w:t>
      </w:r>
    </w:p>
    <w:p w14:paraId="2B22DAD9" w14:textId="77777777" w:rsidR="00B916B8" w:rsidRDefault="00D8694A" w:rsidP="0026418E">
      <w:pPr>
        <w:pStyle w:val="Bezriadkovania"/>
        <w:spacing w:before="120" w:after="120"/>
        <w:ind w:left="851"/>
        <w:jc w:val="both"/>
      </w:pPr>
      <w:r>
        <w:lastRenderedPageBreak/>
        <w:t>Zúčtovateľ odchýlok</w:t>
      </w:r>
      <w:r w:rsidR="00F74386">
        <w:t xml:space="preserve"> následne vystaví faktúru, ktorá bude vyhotovená podľa platného Zákona o DPH a to najneskôr do 15 dní odo dňa vzniku daňovej povinnosti, sprístupní ju </w:t>
      </w:r>
      <w:r>
        <w:t>Dodávateľovi RE</w:t>
      </w:r>
      <w:r w:rsidR="00F74386">
        <w:t xml:space="preserve"> v IS OKTE a súčasne ju zašle e-mailom na adresu </w:t>
      </w:r>
      <w:r>
        <w:t>Dodávateľa RE</w:t>
      </w:r>
      <w:r w:rsidR="00F74386">
        <w:t xml:space="preserve"> uvedenú v Prílohe č. 1 tejto Zmluvy.</w:t>
      </w:r>
      <w:bookmarkEnd w:id="2"/>
    </w:p>
    <w:p w14:paraId="73328CC6" w14:textId="77777777" w:rsidR="00B916B8" w:rsidRDefault="00B916B8" w:rsidP="00D93C56">
      <w:pPr>
        <w:pStyle w:val="Bezriadkovania"/>
        <w:numPr>
          <w:ilvl w:val="2"/>
          <w:numId w:val="3"/>
        </w:numPr>
        <w:spacing w:before="120" w:after="120"/>
        <w:jc w:val="both"/>
      </w:pPr>
      <w:r>
        <w:t>Faktúru na základe tarify za zúčtovanie, vyhodnotenie a vysporiadanie odchýlok podľa platného Rozhodnutia ÚRSO za celkový objem poskytnutej regulačnej elektriny pre subjekt, ktorý poskytuje podporné služby, ale má prenesenú zodpovednosť za odchýlku, ktorý sa vypočíta ako suma absolútnych hodnôt poskytnutej kladnej a zápornej regulačnej elektriny, Zúčtovateľ odchýlok vystaví faktúru do 15 dní od vzniku daňovej povinnosti podľa zákona o DPH. Zúčtovateľ odchýlok sprístupní faktúru Dodávateľovi RE v IS OKTE a zašle ju e-mailom na e-mailovú adresu Dodávateľa RE uvedenú v prílohe č. 1 tejto Zmluvy. Splatnosť vyúčtovacej faktúry je 7 kalendárnych dní odo dňa jej spr</w:t>
      </w:r>
      <w:r w:rsidRPr="0027342E">
        <w:t>ístupnenia Dodávateľovi RE v IS OKTE</w:t>
      </w:r>
      <w:r>
        <w:t>.</w:t>
      </w:r>
    </w:p>
    <w:p w14:paraId="754F6EE1" w14:textId="77777777" w:rsidR="00B916B8" w:rsidRDefault="00B916B8" w:rsidP="00D93C56">
      <w:pPr>
        <w:pStyle w:val="Bezriadkovania"/>
        <w:numPr>
          <w:ilvl w:val="1"/>
          <w:numId w:val="3"/>
        </w:numPr>
        <w:spacing w:before="120" w:after="120"/>
        <w:jc w:val="both"/>
      </w:pPr>
      <w:r>
        <w:t>Výsledná hodnota platby za regulačnú elektrinu je vyhodnocovaná Prevádzkovateľom PS.</w:t>
      </w:r>
    </w:p>
    <w:p w14:paraId="035D9DC3" w14:textId="77777777" w:rsidR="00B916B8" w:rsidRDefault="00B916B8" w:rsidP="00D93C56">
      <w:pPr>
        <w:pStyle w:val="Bezriadkovania"/>
        <w:numPr>
          <w:ilvl w:val="1"/>
          <w:numId w:val="3"/>
        </w:numPr>
        <w:spacing w:before="120" w:after="120"/>
        <w:jc w:val="both"/>
      </w:pPr>
      <w:r>
        <w:t>Spôsob vyúčtovania regulačnej elektriny v prípade finančného plnenia v prospech Dodávateľa RE:</w:t>
      </w:r>
    </w:p>
    <w:p w14:paraId="3979E43C" w14:textId="77777777" w:rsidR="00B916B8" w:rsidRDefault="00B916B8" w:rsidP="00D93C56">
      <w:pPr>
        <w:pStyle w:val="Bezriadkovania"/>
        <w:numPr>
          <w:ilvl w:val="2"/>
          <w:numId w:val="3"/>
        </w:numPr>
        <w:spacing w:before="120" w:after="120"/>
        <w:jc w:val="both"/>
      </w:pPr>
      <w:r>
        <w:t>Zúčtovateľ odchýlok</w:t>
      </w:r>
      <w:r w:rsidRPr="0027342E">
        <w:t xml:space="preserve"> vystaví v mene a na účet Dodávateľa RE mesačnú vyúčtovaciu faktúru za regulačnú elektrinu na základe mesačného vyhodnotenia. Faktúra bude sprístupnená Dodávateľovi RE v IS OKTE a zaslaná e-mailom na adresu Dodávateľa RE uvedenú v</w:t>
      </w:r>
      <w:r w:rsidR="00D8694A">
        <w:t xml:space="preserve"> Prílohe č. 1 </w:t>
      </w:r>
      <w:r w:rsidRPr="0027342E">
        <w:t>Zmluv</w:t>
      </w:r>
      <w:r w:rsidR="00D8694A">
        <w:t>y</w:t>
      </w:r>
      <w:r w:rsidRPr="0027342E">
        <w:t xml:space="preserve"> RE. </w:t>
      </w:r>
      <w:r>
        <w:t>Zúčtovateľ odchýlok</w:t>
      </w:r>
      <w:r w:rsidRPr="0027342E">
        <w:t xml:space="preserve"> uhradí vyúčtovaciu faktúru na účet Dodávateľa RE do 9 kalendárnych dní odo dňa jej sprístupnenia Dodávateľovi RE v IS OKTE</w:t>
      </w:r>
      <w:r>
        <w:t>;</w:t>
      </w:r>
    </w:p>
    <w:p w14:paraId="14359396" w14:textId="77777777" w:rsidR="00B916B8" w:rsidRDefault="00B916B8" w:rsidP="00D93C56">
      <w:pPr>
        <w:pStyle w:val="Bezriadkovania"/>
        <w:numPr>
          <w:ilvl w:val="2"/>
          <w:numId w:val="3"/>
        </w:numPr>
        <w:spacing w:before="120" w:after="120"/>
        <w:jc w:val="both"/>
      </w:pPr>
      <w:r>
        <w:t>Zúčtovateľ odchýlok</w:t>
      </w:r>
      <w:r w:rsidRPr="0027342E">
        <w:t xml:space="preserve"> vystaví v mene a na účet Dodávateľa RE do 5 kalendárnych dní od vykonania konečného vyhodnotenia kladnej a zápornej regulačnej elektriny opravnú faktúru. Faktúra bude sprístupnená Dodávateľovi RE v IS OKTE a zaslaná e-mailom na adresu Dodávateľa RE uvedenú v</w:t>
      </w:r>
      <w:r w:rsidR="00D8694A">
        <w:t xml:space="preserve"> Prílohe č. 1 </w:t>
      </w:r>
      <w:r w:rsidRPr="0027342E">
        <w:t>Zmluv</w:t>
      </w:r>
      <w:r w:rsidR="00D8694A">
        <w:t>y</w:t>
      </w:r>
      <w:r w:rsidRPr="0027342E">
        <w:t xml:space="preserve"> RE. </w:t>
      </w:r>
      <w:r>
        <w:t>Zúčtovateľ odchýlok</w:t>
      </w:r>
      <w:r w:rsidRPr="0027342E">
        <w:t xml:space="preserve"> uhradí vyúčtovaciu faktúru na účet Dodávateľa RE do 9 kalendárnych dní odo dňa jej sprístupnenia Dodávateľovi RE v IS OKTE.</w:t>
      </w:r>
    </w:p>
    <w:p w14:paraId="666BA766" w14:textId="77777777" w:rsidR="00B916B8" w:rsidRDefault="00B916B8" w:rsidP="00D93C56">
      <w:pPr>
        <w:pStyle w:val="Bezriadkovania"/>
        <w:numPr>
          <w:ilvl w:val="1"/>
          <w:numId w:val="3"/>
        </w:numPr>
        <w:spacing w:before="120" w:after="120"/>
        <w:jc w:val="both"/>
      </w:pPr>
      <w:r>
        <w:t xml:space="preserve">Spôsob vyúčtovania regulačnej elektriny v prípade finančného plnenia v prospech </w:t>
      </w:r>
      <w:proofErr w:type="spellStart"/>
      <w:r>
        <w:t>Zúčtovateľa</w:t>
      </w:r>
      <w:proofErr w:type="spellEnd"/>
      <w:r>
        <w:t xml:space="preserve"> odchýlok:</w:t>
      </w:r>
    </w:p>
    <w:p w14:paraId="4B01DFF3" w14:textId="77777777" w:rsidR="00B916B8" w:rsidRPr="0027342E" w:rsidRDefault="00B916B8" w:rsidP="00D93C56">
      <w:pPr>
        <w:numPr>
          <w:ilvl w:val="2"/>
          <w:numId w:val="3"/>
        </w:numPr>
        <w:spacing w:before="120" w:after="120" w:line="240" w:lineRule="auto"/>
        <w:jc w:val="both"/>
        <w:rPr>
          <w:rStyle w:val="Nadpis1Char"/>
          <w:bCs w:val="0"/>
          <w:color w:val="auto"/>
          <w:spacing w:val="0"/>
          <w:sz w:val="22"/>
          <w:szCs w:val="22"/>
        </w:rPr>
      </w:pPr>
      <w:r>
        <w:rPr>
          <w:rStyle w:val="Nadpis1Char"/>
          <w:bCs w:val="0"/>
          <w:color w:val="auto"/>
          <w:spacing w:val="0"/>
          <w:sz w:val="22"/>
          <w:szCs w:val="22"/>
        </w:rPr>
        <w:t>Zúčtovateľ odchýlok</w:t>
      </w:r>
      <w:r w:rsidRPr="0027342E">
        <w:rPr>
          <w:rStyle w:val="Nadpis1Char"/>
          <w:bCs w:val="0"/>
          <w:color w:val="auto"/>
          <w:spacing w:val="0"/>
          <w:sz w:val="22"/>
          <w:szCs w:val="22"/>
        </w:rPr>
        <w:t xml:space="preserve"> vystaví Dodávateľovi RE mesačnú vyúčtovaciu faktúru za regulačnú elektrinu na základe mesačného vyhodnotenia. Faktúra bude sprístupnená Dodávateľovi RE v IS OKTE a zaslaná e-mailom</w:t>
      </w:r>
      <w:r w:rsidR="00D8694A">
        <w:rPr>
          <w:rStyle w:val="Nadpis1Char"/>
          <w:bCs w:val="0"/>
          <w:color w:val="auto"/>
          <w:spacing w:val="0"/>
          <w:sz w:val="22"/>
          <w:szCs w:val="22"/>
        </w:rPr>
        <w:t xml:space="preserve"> </w:t>
      </w:r>
      <w:r w:rsidR="00D8694A" w:rsidRPr="0027342E">
        <w:t>na adresu Dodávateľa RE uvedenú v</w:t>
      </w:r>
      <w:r w:rsidR="00D8694A">
        <w:t xml:space="preserve"> Prílohe č. 1 </w:t>
      </w:r>
      <w:r w:rsidR="00D8694A" w:rsidRPr="0027342E">
        <w:t>Zmluv</w:t>
      </w:r>
      <w:r w:rsidR="00D8694A">
        <w:t>y</w:t>
      </w:r>
      <w:r w:rsidR="00D8694A" w:rsidRPr="0027342E">
        <w:t xml:space="preserve"> RE</w:t>
      </w:r>
      <w:r w:rsidRPr="0027342E">
        <w:rPr>
          <w:rStyle w:val="Nadpis1Char"/>
          <w:bCs w:val="0"/>
          <w:color w:val="auto"/>
          <w:spacing w:val="0"/>
          <w:sz w:val="22"/>
          <w:szCs w:val="22"/>
        </w:rPr>
        <w:t xml:space="preserve">. Dodávateľ RE uhradí vyúčtovaciu faktúru na účet </w:t>
      </w:r>
      <w:proofErr w:type="spellStart"/>
      <w:r>
        <w:rPr>
          <w:rStyle w:val="Nadpis1Char"/>
          <w:bCs w:val="0"/>
          <w:color w:val="auto"/>
          <w:spacing w:val="0"/>
          <w:sz w:val="22"/>
          <w:szCs w:val="22"/>
        </w:rPr>
        <w:t>Zúčtovateľa</w:t>
      </w:r>
      <w:proofErr w:type="spellEnd"/>
      <w:r>
        <w:rPr>
          <w:rStyle w:val="Nadpis1Char"/>
          <w:bCs w:val="0"/>
          <w:color w:val="auto"/>
          <w:spacing w:val="0"/>
          <w:sz w:val="22"/>
          <w:szCs w:val="22"/>
        </w:rPr>
        <w:t xml:space="preserve"> odchýlok</w:t>
      </w:r>
      <w:r w:rsidRPr="0027342E">
        <w:rPr>
          <w:rStyle w:val="Nadpis1Char"/>
          <w:bCs w:val="0"/>
          <w:color w:val="auto"/>
          <w:spacing w:val="0"/>
          <w:sz w:val="22"/>
          <w:szCs w:val="22"/>
        </w:rPr>
        <w:t xml:space="preserve"> do 6 kalendárnych dní odo dňa jej sprístupnenia Dodávateľovi RE v IS OKTE.</w:t>
      </w:r>
    </w:p>
    <w:p w14:paraId="21F95CB3" w14:textId="77777777" w:rsidR="00B916B8" w:rsidRDefault="00B916B8" w:rsidP="00D93C56">
      <w:pPr>
        <w:pStyle w:val="Bezriadkovania"/>
        <w:numPr>
          <w:ilvl w:val="2"/>
          <w:numId w:val="3"/>
        </w:numPr>
        <w:spacing w:before="120" w:after="120"/>
        <w:jc w:val="both"/>
      </w:pPr>
      <w:r>
        <w:t>Zúčtovateľ odchýlok</w:t>
      </w:r>
      <w:r w:rsidRPr="0027342E">
        <w:t xml:space="preserve"> vystaví Dodávateľovi RE do 5 kalendárnych dní od vykonania konečného vyhodnotenia kladnej a zápornej regulačnej elektriny opravnú faktúru. Faktúra bude sprístupnená Dodávateľovi RE v IS OKTE a zaslaná e-mailom</w:t>
      </w:r>
      <w:r w:rsidR="00D8694A">
        <w:t xml:space="preserve"> </w:t>
      </w:r>
      <w:r w:rsidR="00D8694A" w:rsidRPr="0027342E">
        <w:t>na adresu Dodávateľa RE uvedenú v</w:t>
      </w:r>
      <w:r w:rsidR="00D8694A">
        <w:t xml:space="preserve"> Prílohe č. 1 </w:t>
      </w:r>
      <w:r w:rsidR="00D8694A" w:rsidRPr="0027342E">
        <w:t>Zmluv</w:t>
      </w:r>
      <w:r w:rsidR="00D8694A">
        <w:t>y</w:t>
      </w:r>
      <w:r w:rsidR="00D8694A" w:rsidRPr="0027342E">
        <w:t xml:space="preserve"> RE</w:t>
      </w:r>
      <w:r w:rsidRPr="0027342E">
        <w:t>. Splatnosť faktúry je 6 dní odo dňa jej sprístupnenia Dodávateľovi RE v IS OKTE</w:t>
      </w:r>
      <w:r>
        <w:t>.</w:t>
      </w:r>
    </w:p>
    <w:p w14:paraId="7665F652" w14:textId="77777777" w:rsidR="00B916B8" w:rsidRPr="00C8517D" w:rsidRDefault="00B916B8" w:rsidP="00D93C56">
      <w:pPr>
        <w:pStyle w:val="Bezriadkovania"/>
        <w:numPr>
          <w:ilvl w:val="1"/>
          <w:numId w:val="3"/>
        </w:numPr>
        <w:spacing w:before="120" w:after="120"/>
        <w:jc w:val="both"/>
      </w:pPr>
      <w:r w:rsidRPr="00C8517D">
        <w:t>Príloha faktúry obsahuje:</w:t>
      </w:r>
    </w:p>
    <w:p w14:paraId="40A7A9F1" w14:textId="77777777" w:rsidR="00B916B8" w:rsidRPr="00C8517D" w:rsidRDefault="00B916B8" w:rsidP="00D93C56">
      <w:pPr>
        <w:pStyle w:val="Bezriadkovania"/>
        <w:numPr>
          <w:ilvl w:val="2"/>
          <w:numId w:val="21"/>
        </w:numPr>
        <w:spacing w:before="120" w:after="120"/>
        <w:ind w:left="1134"/>
        <w:jc w:val="both"/>
      </w:pPr>
      <w:r w:rsidRPr="00C8517D">
        <w:t>celkové dodané množstvo regulačnej elektriny v MWh</w:t>
      </w:r>
    </w:p>
    <w:p w14:paraId="7B2F49A8" w14:textId="77777777" w:rsidR="00B916B8" w:rsidRDefault="00B916B8" w:rsidP="00D93C56">
      <w:pPr>
        <w:pStyle w:val="Bezriadkovania"/>
        <w:numPr>
          <w:ilvl w:val="2"/>
          <w:numId w:val="21"/>
        </w:numPr>
        <w:spacing w:before="120" w:after="120"/>
        <w:ind w:left="1134"/>
        <w:jc w:val="both"/>
      </w:pPr>
      <w:r w:rsidRPr="00C8517D">
        <w:t>platbu za dodané množstvo regulačnej elektriny v €</w:t>
      </w:r>
      <w:r w:rsidR="0026418E">
        <w:t>,</w:t>
      </w:r>
    </w:p>
    <w:p w14:paraId="60299A54" w14:textId="77777777" w:rsidR="00B916B8" w:rsidRDefault="00B916B8" w:rsidP="00D93C56">
      <w:pPr>
        <w:pStyle w:val="Bezriadkovania"/>
        <w:numPr>
          <w:ilvl w:val="1"/>
          <w:numId w:val="3"/>
        </w:numPr>
        <w:spacing w:before="120" w:after="120"/>
        <w:jc w:val="both"/>
      </w:pPr>
      <w:r>
        <w:t xml:space="preserve">V prípade, že deň splatnosti faktúry pripadne na sobotu, nedeľu alebo deň pracovného pokoja, dňom splatnosti je najbližší nasledujúci pracovný deň. Za zaplatenie faktúry sa považuje pripísanie fakturovanej čiastky v prospech účtu </w:t>
      </w:r>
      <w:r w:rsidR="0026418E">
        <w:t>veriteľa</w:t>
      </w:r>
      <w:r>
        <w:t>.</w:t>
      </w:r>
      <w:r w:rsidRPr="0027342E">
        <w:t xml:space="preserve"> </w:t>
      </w:r>
    </w:p>
    <w:p w14:paraId="371282B9" w14:textId="77777777" w:rsidR="00B916B8" w:rsidRDefault="00B916B8" w:rsidP="00D93C56">
      <w:pPr>
        <w:pStyle w:val="Bezriadkovania"/>
        <w:numPr>
          <w:ilvl w:val="1"/>
          <w:numId w:val="3"/>
        </w:numPr>
        <w:spacing w:before="120" w:after="120"/>
        <w:jc w:val="both"/>
      </w:pPr>
      <w:r>
        <w:lastRenderedPageBreak/>
        <w:t>F</w:t>
      </w:r>
      <w:r w:rsidRPr="00546235">
        <w:t xml:space="preserve">aktúry vystavované </w:t>
      </w:r>
      <w:r>
        <w:t>Dodávateľom RE</w:t>
      </w:r>
      <w:r w:rsidRPr="00546235">
        <w:t xml:space="preserve"> voči </w:t>
      </w:r>
      <w:proofErr w:type="spellStart"/>
      <w:r>
        <w:t>Zúčtovateľovi</w:t>
      </w:r>
      <w:proofErr w:type="spellEnd"/>
      <w:r>
        <w:t xml:space="preserve"> odchýlok </w:t>
      </w:r>
      <w:r w:rsidRPr="00546235">
        <w:t xml:space="preserve">vyhotovuje v mene a na účet </w:t>
      </w:r>
      <w:r>
        <w:t xml:space="preserve">Dodávateľa RE Zúčtovateľ odchýlok </w:t>
      </w:r>
      <w:r w:rsidRPr="00546235">
        <w:t xml:space="preserve">na základe </w:t>
      </w:r>
      <w:r>
        <w:t xml:space="preserve">tejto </w:t>
      </w:r>
      <w:r w:rsidRPr="00546235">
        <w:t>Zmluvy</w:t>
      </w:r>
      <w:r>
        <w:t>.</w:t>
      </w:r>
      <w:r w:rsidRPr="00546235">
        <w:t xml:space="preserve"> </w:t>
      </w:r>
      <w:r>
        <w:t xml:space="preserve">Všetky faktúry musia spĺňať náležitosti podľa </w:t>
      </w:r>
      <w:r w:rsidRPr="00DB13DC">
        <w:t>Zákona</w:t>
      </w:r>
      <w:r>
        <w:t xml:space="preserve"> o DPH. V prípade, ak </w:t>
      </w:r>
      <w:r w:rsidRPr="00656071">
        <w:t xml:space="preserve">faktúra nebude obsahovať údaje </w:t>
      </w:r>
      <w:r w:rsidRPr="001F7240">
        <w:t xml:space="preserve">podľa </w:t>
      </w:r>
      <w:r w:rsidRPr="0094601D">
        <w:rPr>
          <w:bCs/>
        </w:rPr>
        <w:t xml:space="preserve">Zákona o DPH, je </w:t>
      </w:r>
      <w:r>
        <w:rPr>
          <w:bCs/>
        </w:rPr>
        <w:t>Dodávateľ RE</w:t>
      </w:r>
      <w:r w:rsidRPr="0094601D">
        <w:rPr>
          <w:bCs/>
        </w:rPr>
        <w:t xml:space="preserve"> oprávnen</w:t>
      </w:r>
      <w:r>
        <w:rPr>
          <w:bCs/>
        </w:rPr>
        <w:t>ý</w:t>
      </w:r>
      <w:r w:rsidRPr="0094601D">
        <w:rPr>
          <w:bCs/>
        </w:rPr>
        <w:t xml:space="preserve"> vrátiť faktúru na prepracovanie. Splatnosť faktúry začne opätovne plynúť odo dňa jej doručenia.</w:t>
      </w:r>
    </w:p>
    <w:p w14:paraId="5C2DD6DC" w14:textId="77777777" w:rsidR="00B916B8" w:rsidRDefault="00B916B8" w:rsidP="00D93C56">
      <w:pPr>
        <w:pStyle w:val="Bezriadkovania"/>
        <w:numPr>
          <w:ilvl w:val="1"/>
          <w:numId w:val="3"/>
        </w:numPr>
        <w:spacing w:before="120" w:after="120"/>
        <w:jc w:val="both"/>
      </w:pPr>
      <w:r>
        <w:t>V prípade, že Dodávateľ RE je zahraničný subjekt a nie je registrovaný pre DPH v SR, resp. má na území SR prevádzku, ktorá nemá materiálne ani personálne vybavenie, vysporiadanie DPH pri fakturácii sa riadi legislatívou platnou v EU prípadne tretích krajín a bude použitý mechanizmus "</w:t>
      </w:r>
      <w:proofErr w:type="spellStart"/>
      <w:r>
        <w:t>Reverse</w:t>
      </w:r>
      <w:proofErr w:type="spellEnd"/>
      <w:r>
        <w:t xml:space="preserve"> </w:t>
      </w:r>
      <w:proofErr w:type="spellStart"/>
      <w:r>
        <w:t>Charge</w:t>
      </w:r>
      <w:proofErr w:type="spellEnd"/>
      <w:r>
        <w:t>".</w:t>
      </w:r>
    </w:p>
    <w:p w14:paraId="6598A616" w14:textId="77777777" w:rsidR="00B916B8" w:rsidRDefault="00B916B8" w:rsidP="00D93C56">
      <w:pPr>
        <w:pStyle w:val="Bezriadkovania"/>
        <w:numPr>
          <w:ilvl w:val="1"/>
          <w:numId w:val="3"/>
        </w:numPr>
        <w:spacing w:before="120" w:after="120"/>
        <w:jc w:val="both"/>
      </w:pPr>
      <w:r>
        <w:t xml:space="preserve">Pokiaľ </w:t>
      </w:r>
      <w:r w:rsidR="00D8694A">
        <w:t xml:space="preserve">absolútna hodnota </w:t>
      </w:r>
      <w:r>
        <w:t>čiastk</w:t>
      </w:r>
      <w:r w:rsidR="00D8694A">
        <w:t>y</w:t>
      </w:r>
      <w:r>
        <w:t xml:space="preserve"> vyplývajúc</w:t>
      </w:r>
      <w:r w:rsidR="00D8694A">
        <w:t>ej</w:t>
      </w:r>
      <w:r>
        <w:t xml:space="preserve"> z vystavenej faktúry nepresiahne hodnotu 0,10 EUR potom bude suma k úhrade zaokrúhlená na 0,00 EUR.</w:t>
      </w:r>
    </w:p>
    <w:p w14:paraId="2C2896F9" w14:textId="77777777" w:rsidR="00B916B8" w:rsidRDefault="00B916B8" w:rsidP="00D93C56">
      <w:pPr>
        <w:pStyle w:val="Bezriadkovania"/>
        <w:numPr>
          <w:ilvl w:val="1"/>
          <w:numId w:val="3"/>
        </w:numPr>
        <w:spacing w:before="120" w:after="120"/>
        <w:jc w:val="both"/>
      </w:pPr>
      <w:r>
        <w:t>V prípade, že dôjde k zmene sadzby dane v čase vzniku daňovej povinnosti, sa vo faktúre uplatní DPH vo výške určenej platným právnym predpisom v čase vzniku daňovej povinnosti.</w:t>
      </w:r>
    </w:p>
    <w:p w14:paraId="2C34A766" w14:textId="77777777" w:rsidR="00D93C56" w:rsidRDefault="00D93C56" w:rsidP="0027256B">
      <w:pPr>
        <w:pStyle w:val="Bezriadkovania"/>
        <w:spacing w:before="120" w:after="120"/>
      </w:pPr>
    </w:p>
    <w:p w14:paraId="7B06BED4" w14:textId="77777777" w:rsidR="00B916B8" w:rsidRDefault="00B916B8" w:rsidP="0027256B">
      <w:pPr>
        <w:pStyle w:val="Nadpis2"/>
        <w:numPr>
          <w:ilvl w:val="0"/>
          <w:numId w:val="3"/>
        </w:numPr>
        <w:spacing w:after="120"/>
        <w:jc w:val="center"/>
      </w:pPr>
      <w:r>
        <w:t>Článok</w:t>
      </w:r>
    </w:p>
    <w:p w14:paraId="4CD3D5DB" w14:textId="77777777" w:rsidR="00B916B8" w:rsidRDefault="00B916B8" w:rsidP="0027256B">
      <w:pPr>
        <w:pStyle w:val="Nadpis2"/>
        <w:spacing w:after="120"/>
        <w:jc w:val="center"/>
      </w:pPr>
      <w:r>
        <w:t>Zmluvný úrok z omeškania</w:t>
      </w:r>
    </w:p>
    <w:p w14:paraId="75C022B9" w14:textId="77777777" w:rsidR="00B916B8" w:rsidRDefault="00B916B8" w:rsidP="00D93C56">
      <w:pPr>
        <w:pStyle w:val="Bezriadkovania"/>
        <w:numPr>
          <w:ilvl w:val="1"/>
          <w:numId w:val="3"/>
        </w:numPr>
        <w:spacing w:before="120" w:after="120"/>
        <w:jc w:val="both"/>
      </w:pPr>
      <w:r>
        <w:t xml:space="preserve">Za každý začatý deň omeškania splatnej platby podľa tejto Zmluvy je Zúčtovateľ odchýlok, resp. Dodávateľ RE, oprávnený fakturovať úrok z omeškania z dlžnej čiastky, vo výške 1M EURIBOR + 2 % </w:t>
      </w:r>
      <w:proofErr w:type="spellStart"/>
      <w:r>
        <w:t>p.a</w:t>
      </w:r>
      <w:proofErr w:type="spellEnd"/>
      <w:r>
        <w:t xml:space="preserve">. (pri 360-dňovom účtovnom roku). Pre výpočet úroku sa použije hodnota 1M EURIBOR platného na obdobie mesiaca, v ktorom došlo k omeškaniu s platbou. Úrok z omeškania je splatný do 14 kalendárnych dní od odoslania jeho vyúčtovania e-mailom na adresu uvedenú v Prílohe č. 1 tejto Zmluvy. Faktúra bude súčasne </w:t>
      </w:r>
      <w:proofErr w:type="spellStart"/>
      <w:r>
        <w:t>Zúčtovateľom</w:t>
      </w:r>
      <w:proofErr w:type="spellEnd"/>
      <w:r>
        <w:t xml:space="preserve"> odchýlok, resp. Dodávateľom RE zaslaná poštou na adresu sídla dlžnej strany.</w:t>
      </w:r>
    </w:p>
    <w:p w14:paraId="6701102F" w14:textId="77777777" w:rsidR="00B916B8" w:rsidRDefault="00B916B8" w:rsidP="00D93C56">
      <w:pPr>
        <w:pStyle w:val="Bezriadkovania"/>
        <w:numPr>
          <w:ilvl w:val="1"/>
          <w:numId w:val="3"/>
        </w:numPr>
        <w:spacing w:before="120" w:after="120"/>
        <w:jc w:val="both"/>
      </w:pPr>
      <w:r>
        <w:t>Ak jedna zo Zmluvných strán uhradí druhej Zmluvnej strane úroky z omeškania z dlžnej čiastky, ktorá bola neoprávnene fakturovaná, je Zmluvná strana, v prospech ktorej takéto úroky boli uhradené, povinná ich bezodkladne vrátiť.</w:t>
      </w:r>
    </w:p>
    <w:p w14:paraId="2ED6DA61" w14:textId="77777777" w:rsidR="00B916B8" w:rsidRDefault="00B916B8" w:rsidP="0027256B">
      <w:pPr>
        <w:pStyle w:val="Bezriadkovania"/>
        <w:spacing w:before="120" w:after="120"/>
      </w:pPr>
    </w:p>
    <w:p w14:paraId="03848605" w14:textId="77777777" w:rsidR="00B916B8" w:rsidRDefault="00B916B8" w:rsidP="0027256B">
      <w:pPr>
        <w:pStyle w:val="Nadpis2"/>
        <w:numPr>
          <w:ilvl w:val="0"/>
          <w:numId w:val="3"/>
        </w:numPr>
        <w:spacing w:after="120"/>
        <w:ind w:hanging="499"/>
        <w:jc w:val="center"/>
      </w:pPr>
      <w:r>
        <w:t>Článok</w:t>
      </w:r>
    </w:p>
    <w:p w14:paraId="0E162BEF" w14:textId="77777777" w:rsidR="00B916B8" w:rsidRDefault="00B916B8" w:rsidP="0027256B">
      <w:pPr>
        <w:pStyle w:val="Nadpis2"/>
        <w:spacing w:after="120"/>
        <w:jc w:val="center"/>
      </w:pPr>
      <w:r>
        <w:t>Predchádzanie škodám, náhrada škody</w:t>
      </w:r>
      <w:r w:rsidR="0026418E">
        <w:t xml:space="preserve">, </w:t>
      </w:r>
      <w:r>
        <w:t>okolnosti vylučujúce zodpovednosť a riešenie sporov</w:t>
      </w:r>
    </w:p>
    <w:p w14:paraId="03A0398F" w14:textId="77777777" w:rsidR="00B916B8" w:rsidRDefault="00B916B8" w:rsidP="00D93C56">
      <w:pPr>
        <w:pStyle w:val="Bezriadkovania"/>
        <w:numPr>
          <w:ilvl w:val="1"/>
          <w:numId w:val="3"/>
        </w:numPr>
        <w:spacing w:before="120" w:after="120"/>
        <w:jc w:val="both"/>
      </w:pPr>
      <w:r>
        <w:t>Predchádzanie škodám, náhrada škody a okolnosti vylučujúce zodpovednosť sa riadia príslušnými ustanoveniami Obchodného zákonníka.</w:t>
      </w:r>
    </w:p>
    <w:p w14:paraId="34CCCC3C" w14:textId="77777777" w:rsidR="00B916B8" w:rsidRDefault="00B916B8" w:rsidP="00D93C56">
      <w:pPr>
        <w:pStyle w:val="Bezriadkovania"/>
        <w:numPr>
          <w:ilvl w:val="1"/>
          <w:numId w:val="3"/>
        </w:numPr>
        <w:spacing w:before="120" w:after="120"/>
      </w:pPr>
      <w:r>
        <w:t>Riešenie sporov sa riadi podľa ustanovení PP OKTE.</w:t>
      </w:r>
    </w:p>
    <w:p w14:paraId="2FC3F6DC" w14:textId="77777777" w:rsidR="00D93C56" w:rsidRDefault="00D93C56" w:rsidP="0027256B">
      <w:pPr>
        <w:pStyle w:val="Bezriadkovania"/>
        <w:spacing w:before="120" w:after="120"/>
      </w:pPr>
    </w:p>
    <w:p w14:paraId="0BE22054" w14:textId="77777777" w:rsidR="00B916B8" w:rsidRDefault="00B916B8" w:rsidP="0027256B">
      <w:pPr>
        <w:pStyle w:val="Nadpis2"/>
        <w:numPr>
          <w:ilvl w:val="0"/>
          <w:numId w:val="3"/>
        </w:numPr>
        <w:spacing w:after="120"/>
        <w:jc w:val="center"/>
      </w:pPr>
      <w:r>
        <w:t>Článok</w:t>
      </w:r>
    </w:p>
    <w:p w14:paraId="7CFEF826" w14:textId="77777777" w:rsidR="00B916B8" w:rsidRDefault="00B916B8" w:rsidP="0027256B">
      <w:pPr>
        <w:pStyle w:val="Nadpis2"/>
        <w:spacing w:after="120"/>
        <w:jc w:val="center"/>
      </w:pPr>
      <w:r>
        <w:t>Platnosť a účinnosť Zmluvy</w:t>
      </w:r>
    </w:p>
    <w:p w14:paraId="5C82CE80" w14:textId="2C19F15D" w:rsidR="00B916B8" w:rsidRDefault="00B916B8" w:rsidP="00D93C56">
      <w:pPr>
        <w:pStyle w:val="Bezriadkovania"/>
        <w:numPr>
          <w:ilvl w:val="1"/>
          <w:numId w:val="3"/>
        </w:numPr>
        <w:spacing w:before="120" w:after="120"/>
        <w:jc w:val="both"/>
      </w:pPr>
      <w:r>
        <w:t xml:space="preserve">Táto Zmluva sa uzatvára na dobu neurčitú a nadobúda platnosť dňom podpisu oboma Zmluvnými stranami a účinnosť pripísaním sumy za Ročnú fixnú platbu podľa článku </w:t>
      </w:r>
      <w:r>
        <w:fldChar w:fldCharType="begin"/>
      </w:r>
      <w:r>
        <w:instrText xml:space="preserve"> REF _Ref372013909 \n \h </w:instrText>
      </w:r>
      <w:r>
        <w:fldChar w:fldCharType="separate"/>
      </w:r>
      <w:r w:rsidR="008A5FC9">
        <w:t>V</w:t>
      </w:r>
      <w:r>
        <w:fldChar w:fldCharType="end"/>
      </w:r>
      <w:r>
        <w:t xml:space="preserve"> ods. </w:t>
      </w:r>
      <w:r>
        <w:fldChar w:fldCharType="begin"/>
      </w:r>
      <w:r>
        <w:instrText xml:space="preserve"> REF _Ref372013920 \n \h </w:instrText>
      </w:r>
      <w:r>
        <w:fldChar w:fldCharType="separate"/>
      </w:r>
      <w:r w:rsidR="008A5FC9">
        <w:t>1</w:t>
      </w:r>
      <w:r>
        <w:fldChar w:fldCharType="end"/>
      </w:r>
      <w:r>
        <w:t xml:space="preserve"> psím. </w:t>
      </w:r>
      <w:r>
        <w:fldChar w:fldCharType="begin"/>
      </w:r>
      <w:r>
        <w:instrText xml:space="preserve"> REF _Ref372016767 \n \h </w:instrText>
      </w:r>
      <w:r>
        <w:fldChar w:fldCharType="separate"/>
      </w:r>
      <w:r w:rsidR="008A5FC9">
        <w:t>a)</w:t>
      </w:r>
      <w:r>
        <w:fldChar w:fldCharType="end"/>
      </w:r>
      <w:r>
        <w:t xml:space="preserve"> na účet </w:t>
      </w:r>
      <w:proofErr w:type="spellStart"/>
      <w:r>
        <w:t>Zúčtovateľa</w:t>
      </w:r>
      <w:proofErr w:type="spellEnd"/>
      <w:r>
        <w:t xml:space="preserve"> odchýlok V prípade, ak má Dodávateľ RE so </w:t>
      </w:r>
      <w:proofErr w:type="spellStart"/>
      <w:r>
        <w:t>Zúčtovateľom</w:t>
      </w:r>
      <w:proofErr w:type="spellEnd"/>
      <w:r>
        <w:t xml:space="preserve"> odchýlok uzatvorenú aj zmluvu o zúčtovaní odchýlky a súčasne aj uhradil Ročnú fixnú platbu v zmysle zmluvy o zúčtovaní odchýlky, tak nie je povinný uhradiť túto Ročnú fixnú platbu v zmysle tejto Zmluvy a táto Zmluva nadobúda účinnosť dňom jej podpisu.</w:t>
      </w:r>
    </w:p>
    <w:p w14:paraId="2138F8B7" w14:textId="77777777" w:rsidR="00B916B8" w:rsidRDefault="00B916B8" w:rsidP="00D93C56">
      <w:pPr>
        <w:pStyle w:val="Bezriadkovania"/>
        <w:numPr>
          <w:ilvl w:val="1"/>
          <w:numId w:val="3"/>
        </w:numPr>
        <w:spacing w:before="120" w:after="120"/>
        <w:jc w:val="both"/>
      </w:pPr>
      <w:r>
        <w:lastRenderedPageBreak/>
        <w:t>Táto Zmluva môže byť ukončená:</w:t>
      </w:r>
    </w:p>
    <w:p w14:paraId="21AA53C2" w14:textId="77777777" w:rsidR="00B916B8" w:rsidRDefault="00B916B8" w:rsidP="00D93C56">
      <w:pPr>
        <w:pStyle w:val="Bezriadkovania"/>
        <w:numPr>
          <w:ilvl w:val="2"/>
          <w:numId w:val="3"/>
        </w:numPr>
        <w:spacing w:before="120" w:after="120"/>
        <w:jc w:val="both"/>
      </w:pPr>
      <w:r>
        <w:t>písomnou dohodou oboch Zmluvných strán,</w:t>
      </w:r>
    </w:p>
    <w:p w14:paraId="1E5BF3B3" w14:textId="77777777" w:rsidR="00B916B8" w:rsidRDefault="00B916B8" w:rsidP="00D93C56">
      <w:pPr>
        <w:pStyle w:val="Bezriadkovania"/>
        <w:numPr>
          <w:ilvl w:val="2"/>
          <w:numId w:val="3"/>
        </w:numPr>
        <w:spacing w:before="120" w:after="120"/>
        <w:jc w:val="both"/>
      </w:pPr>
      <w:r>
        <w:t xml:space="preserve">výpoveďou zo strany Dodávateľa RE. Výpovedná lehota je 30 kalendárnych dní a začína plynúť odo dňa doručenia výpovede </w:t>
      </w:r>
      <w:proofErr w:type="spellStart"/>
      <w:r>
        <w:t>Zúčtovateľovi</w:t>
      </w:r>
      <w:proofErr w:type="spellEnd"/>
      <w:r>
        <w:t xml:space="preserve"> odchýlok. Výpoveď musí byť urobená písomne, musí byť zaslaná doporučeným listom na adresu sídla </w:t>
      </w:r>
      <w:proofErr w:type="spellStart"/>
      <w:r>
        <w:t>Zúčtovateľa</w:t>
      </w:r>
      <w:proofErr w:type="spellEnd"/>
      <w:r>
        <w:t xml:space="preserve"> odchýlok a Dodávateľ RE musí mať uhradené všetky záväzky voči </w:t>
      </w:r>
      <w:proofErr w:type="spellStart"/>
      <w:r>
        <w:t>Zúčtovateľovi</w:t>
      </w:r>
      <w:proofErr w:type="spellEnd"/>
      <w:r>
        <w:t xml:space="preserve"> odchýlok,</w:t>
      </w:r>
    </w:p>
    <w:p w14:paraId="48A0D2AC" w14:textId="77777777" w:rsidR="00B916B8" w:rsidRDefault="00B916B8" w:rsidP="00D93C56">
      <w:pPr>
        <w:pStyle w:val="Bezriadkovania"/>
        <w:numPr>
          <w:ilvl w:val="2"/>
          <w:numId w:val="3"/>
        </w:numPr>
        <w:spacing w:before="120" w:after="120"/>
        <w:jc w:val="both"/>
      </w:pPr>
      <w:r>
        <w:t xml:space="preserve">výpoveďou zo strany </w:t>
      </w:r>
      <w:proofErr w:type="spellStart"/>
      <w:r>
        <w:t>Zúčtovateľa</w:t>
      </w:r>
      <w:proofErr w:type="spellEnd"/>
      <w:r>
        <w:t xml:space="preserve"> odchýlok. Výpovedná lehota je 30 kalendárnych dní a začína plynúť odo dňa doručenia výpovede Dodávateľovi RE. Výpoveď musí byť urobená písomne a musí byť zaslaná doporučeným listom na adresu sídla Dodávateľa RE,</w:t>
      </w:r>
    </w:p>
    <w:p w14:paraId="5CBEF69C" w14:textId="77777777" w:rsidR="00B916B8" w:rsidRDefault="00B916B8" w:rsidP="00D93C56">
      <w:pPr>
        <w:pStyle w:val="Bezriadkovania"/>
        <w:numPr>
          <w:ilvl w:val="2"/>
          <w:numId w:val="3"/>
        </w:numPr>
        <w:spacing w:before="120" w:after="120"/>
        <w:jc w:val="both"/>
      </w:pPr>
      <w:r>
        <w:t>písomným odstúpením od tejto Zmluvy z dôvodov podstatného porušenia tejto Zmluvy resp. z dôvodov, pre ktoré pripúšťa odstúpenie od zmluvy Obchodný zákonník. Odstúpenie oprávnenej Zmluvnej strany od tejto Zmluvy je účinné dňom jeho doručenia druhej Zmluvnej strane na adresu jej sídla,</w:t>
      </w:r>
    </w:p>
    <w:p w14:paraId="2507AE9E" w14:textId="5D5AE248" w:rsidR="00B916B8" w:rsidRDefault="00B916B8" w:rsidP="00D93C56">
      <w:pPr>
        <w:pStyle w:val="Bezriadkovania"/>
        <w:numPr>
          <w:ilvl w:val="2"/>
          <w:numId w:val="3"/>
        </w:numPr>
        <w:spacing w:before="120" w:after="120"/>
        <w:jc w:val="both"/>
      </w:pPr>
      <w:r>
        <w:t xml:space="preserve">neuzatvorením dodatku v zmysle článku </w:t>
      </w:r>
      <w:r>
        <w:fldChar w:fldCharType="begin"/>
      </w:r>
      <w:r>
        <w:instrText xml:space="preserve"> REF _Ref338687723 \r \h </w:instrText>
      </w:r>
      <w:r>
        <w:fldChar w:fldCharType="separate"/>
      </w:r>
      <w:r w:rsidR="008A5FC9">
        <w:t>X</w:t>
      </w:r>
      <w:r>
        <w:fldChar w:fldCharType="end"/>
      </w:r>
      <w:r>
        <w:t xml:space="preserve"> ods.</w:t>
      </w:r>
      <w:r>
        <w:fldChar w:fldCharType="begin"/>
      </w:r>
      <w:r>
        <w:instrText xml:space="preserve"> REF _Ref338687733 \n \h </w:instrText>
      </w:r>
      <w:r>
        <w:fldChar w:fldCharType="separate"/>
      </w:r>
      <w:r w:rsidR="008A5FC9">
        <w:t>8</w:t>
      </w:r>
      <w:r>
        <w:fldChar w:fldCharType="end"/>
      </w:r>
      <w:r>
        <w:t>. a ods.</w:t>
      </w:r>
      <w:r>
        <w:fldChar w:fldCharType="begin"/>
      </w:r>
      <w:r>
        <w:instrText xml:space="preserve"> REF _Ref338687756 \n \h </w:instrText>
      </w:r>
      <w:r>
        <w:fldChar w:fldCharType="separate"/>
      </w:r>
      <w:r w:rsidR="008A5FC9">
        <w:t>9</w:t>
      </w:r>
      <w:r>
        <w:fldChar w:fldCharType="end"/>
      </w:r>
      <w:r>
        <w:t>.tejto Zmluvy, a to po uplynutí 25. dňa od výzvy na jeho uzatvorenie, ak sa Zmluvné strany nedohodnú inak,</w:t>
      </w:r>
    </w:p>
    <w:p w14:paraId="32C2A51D" w14:textId="77777777" w:rsidR="00B916B8" w:rsidRDefault="00B916B8" w:rsidP="00D93C56">
      <w:pPr>
        <w:pStyle w:val="Bezriadkovania"/>
        <w:numPr>
          <w:ilvl w:val="1"/>
          <w:numId w:val="3"/>
        </w:numPr>
        <w:spacing w:before="120" w:after="120"/>
        <w:jc w:val="both"/>
      </w:pPr>
      <w:r>
        <w:t xml:space="preserve">Obe Zmluvné strany sa zaväzujú, že svoje prípadné vzájomné záväzky vysporiadajú do 90 </w:t>
      </w:r>
      <w:r w:rsidR="0026418E">
        <w:t xml:space="preserve">kalendárnych </w:t>
      </w:r>
      <w:r>
        <w:t>dní od ukončenia platnosti tejto Zmluvy.</w:t>
      </w:r>
    </w:p>
    <w:p w14:paraId="70450879" w14:textId="77777777" w:rsidR="00D93C56" w:rsidRDefault="00D93C56" w:rsidP="0027256B">
      <w:pPr>
        <w:pStyle w:val="Bezriadkovania"/>
        <w:spacing w:before="120" w:after="120"/>
      </w:pPr>
    </w:p>
    <w:p w14:paraId="2362F9FA" w14:textId="77777777" w:rsidR="00B916B8" w:rsidRDefault="00B916B8" w:rsidP="0027256B">
      <w:pPr>
        <w:pStyle w:val="Nadpis2"/>
        <w:numPr>
          <w:ilvl w:val="0"/>
          <w:numId w:val="3"/>
        </w:numPr>
        <w:spacing w:after="120"/>
        <w:jc w:val="center"/>
      </w:pPr>
      <w:r>
        <w:t>Článok</w:t>
      </w:r>
    </w:p>
    <w:p w14:paraId="271CB494" w14:textId="77777777" w:rsidR="00B916B8" w:rsidRDefault="00B916B8" w:rsidP="0027256B">
      <w:pPr>
        <w:pStyle w:val="Nadpis2"/>
        <w:spacing w:after="120"/>
        <w:jc w:val="center"/>
      </w:pPr>
      <w:r>
        <w:t>Komunikácia</w:t>
      </w:r>
    </w:p>
    <w:p w14:paraId="1348538E" w14:textId="77777777" w:rsidR="00B916B8" w:rsidRDefault="00B916B8" w:rsidP="00D93C56">
      <w:pPr>
        <w:pStyle w:val="Bezriadkovania"/>
        <w:numPr>
          <w:ilvl w:val="1"/>
          <w:numId w:val="3"/>
        </w:numPr>
        <w:spacing w:before="120" w:after="120"/>
        <w:jc w:val="both"/>
      </w:pPr>
      <w:r>
        <w:t xml:space="preserve">Komunikácia medzi </w:t>
      </w:r>
      <w:proofErr w:type="spellStart"/>
      <w:r>
        <w:t>Zúčtovateľom</w:t>
      </w:r>
      <w:proofErr w:type="spellEnd"/>
      <w:r>
        <w:t xml:space="preserve"> odchýlok a Dodávateľom RE prebieha písomne alebo elektronickou komunikáciou, a vo výnimočných prípadoch telefonicky, pričom všetky postupy sú podrobne popísané v PP OKTE.</w:t>
      </w:r>
    </w:p>
    <w:p w14:paraId="58BA347E" w14:textId="77777777" w:rsidR="00B916B8" w:rsidRDefault="00B916B8" w:rsidP="00D93C56">
      <w:pPr>
        <w:pStyle w:val="Bezriadkovania"/>
        <w:numPr>
          <w:ilvl w:val="1"/>
          <w:numId w:val="3"/>
        </w:numPr>
        <w:spacing w:before="120" w:after="120"/>
        <w:jc w:val="both"/>
      </w:pPr>
      <w:r>
        <w:t>Zamestnanci poverení komunikáciou oboch Zmluvných strán pre komunikáciu, uvedení v Prílohe č. 1 tejto Zmluvy, sú oprávnení v rámci tejto Zmluvy viesť spoločné rokovania, týkajúce sa predmetu, termínov a ostatných podmienok súvisiacich s plnením tejto Zmluvy. Ak zo záverov takýchto rokovaní vyplynú námety na zmenu tejto Zmluvy, potom ide o návrh na zmenu tejto Zmluvy. Zamestnanci poverení komunikáciou oboch Zmluvných strán nie sú oprávnení meniť, rušiť ani uzatvárať túto Zmluvu.</w:t>
      </w:r>
    </w:p>
    <w:p w14:paraId="7A7CB1AB" w14:textId="77777777" w:rsidR="00B916B8" w:rsidRDefault="00B916B8" w:rsidP="00D93C56">
      <w:pPr>
        <w:pStyle w:val="Bezriadkovania"/>
        <w:numPr>
          <w:ilvl w:val="1"/>
          <w:numId w:val="3"/>
        </w:numPr>
        <w:spacing w:before="120" w:after="120"/>
        <w:jc w:val="both"/>
      </w:pPr>
      <w:r>
        <w:t>V prípade spoločných rokovaní musia byť platné závery obsiahnuté v zápise z týchto rokovaní podpísané zúčastnenými stranami a tiež zápis musí byť odovzdaný zúčastneným stranám.</w:t>
      </w:r>
    </w:p>
    <w:p w14:paraId="1CB8DC8B" w14:textId="77777777" w:rsidR="00B916B8" w:rsidRDefault="00B916B8" w:rsidP="00D93C56">
      <w:pPr>
        <w:pStyle w:val="Bezriadkovania"/>
        <w:numPr>
          <w:ilvl w:val="1"/>
          <w:numId w:val="3"/>
        </w:numPr>
        <w:spacing w:before="120" w:after="120"/>
        <w:jc w:val="both"/>
      </w:pPr>
      <w:r>
        <w:t xml:space="preserve">Obe Zmluvné strany sú oprávnené nahrávať telefónne hovory realizované medzi zamestnancami poverenými komunikáciou. </w:t>
      </w:r>
    </w:p>
    <w:p w14:paraId="7AF177DD" w14:textId="77777777" w:rsidR="00B916B8" w:rsidRDefault="00B916B8" w:rsidP="00D93C56">
      <w:pPr>
        <w:pStyle w:val="Bezriadkovania"/>
        <w:numPr>
          <w:ilvl w:val="1"/>
          <w:numId w:val="3"/>
        </w:numPr>
        <w:spacing w:before="120" w:after="120"/>
        <w:jc w:val="both"/>
      </w:pPr>
      <w:r>
        <w:t xml:space="preserve">Dodávateľ RE súhlasí s tým, aby tieto nahrávky telefónnych hovorov medzi </w:t>
      </w:r>
      <w:proofErr w:type="spellStart"/>
      <w:r>
        <w:t>Zúčtovateľom</w:t>
      </w:r>
      <w:proofErr w:type="spellEnd"/>
      <w:r>
        <w:t xml:space="preserve"> odchýlok a Dodávateľom RE, ktoré realizuje a archivuje Zúčtovateľ odchýlok, slúžili v prípade potreby ako rozhodujúci hlasový záznam, ktorý Zmluvné strany považujú za východiskový zdroj informácií pre dôkazové konanie a za jeden z dôkazných prostriedkov v prípadných sporoch. Dodávateľ RE je oprávnený postupovať obdobným spôsobom podľa ustanovení tohto odseku.</w:t>
      </w:r>
    </w:p>
    <w:p w14:paraId="1C906268" w14:textId="77777777" w:rsidR="00B916B8" w:rsidRDefault="00B916B8" w:rsidP="0027256B">
      <w:pPr>
        <w:pStyle w:val="Bezriadkovania"/>
        <w:spacing w:before="120" w:after="120"/>
      </w:pPr>
    </w:p>
    <w:p w14:paraId="6A1BF2D7" w14:textId="77777777" w:rsidR="00B916B8" w:rsidRDefault="00B916B8" w:rsidP="0027256B">
      <w:pPr>
        <w:pStyle w:val="Nadpis2"/>
        <w:numPr>
          <w:ilvl w:val="0"/>
          <w:numId w:val="3"/>
        </w:numPr>
        <w:spacing w:after="120"/>
        <w:jc w:val="center"/>
      </w:pPr>
      <w:bookmarkStart w:id="3" w:name="_Ref338687723"/>
      <w:r>
        <w:lastRenderedPageBreak/>
        <w:t>Článok</w:t>
      </w:r>
      <w:bookmarkEnd w:id="3"/>
    </w:p>
    <w:p w14:paraId="4D4011C0" w14:textId="77777777" w:rsidR="00B916B8" w:rsidRDefault="00B916B8" w:rsidP="0027256B">
      <w:pPr>
        <w:pStyle w:val="Nadpis2"/>
        <w:spacing w:after="120"/>
        <w:jc w:val="center"/>
      </w:pPr>
      <w:r>
        <w:t>Záverečné ustanovenia</w:t>
      </w:r>
    </w:p>
    <w:p w14:paraId="2DF5BEF4" w14:textId="77777777" w:rsidR="00B916B8" w:rsidRDefault="00B916B8" w:rsidP="00D93C56">
      <w:pPr>
        <w:pStyle w:val="Bezriadkovania"/>
        <w:numPr>
          <w:ilvl w:val="1"/>
          <w:numId w:val="3"/>
        </w:numPr>
        <w:spacing w:before="120" w:after="120"/>
        <w:jc w:val="both"/>
      </w:pPr>
      <w:r>
        <w:t>Ak táto Zmluva neurčuje inak, možno ju meniť a dopĺňať iba vzostupne číslovanými písomnými dodatkami, podpísanými, pre tento účel oprávnenými, zástupcami oboch Zmluvných strán.</w:t>
      </w:r>
    </w:p>
    <w:p w14:paraId="47AB6611" w14:textId="77777777" w:rsidR="00B916B8" w:rsidRDefault="00B916B8" w:rsidP="00D93C56">
      <w:pPr>
        <w:pStyle w:val="Bezriadkovania"/>
        <w:numPr>
          <w:ilvl w:val="1"/>
          <w:numId w:val="3"/>
        </w:numPr>
        <w:spacing w:before="120" w:after="120"/>
        <w:jc w:val="both"/>
      </w:pPr>
      <w:r>
        <w:t>Zúčtovateľ odchýlok aj Dodávateľ RE sa zaväzuje bez zbytočného odkladu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15776256" w14:textId="77777777" w:rsidR="00B916B8" w:rsidRDefault="00B916B8" w:rsidP="00D93C56">
      <w:pPr>
        <w:pStyle w:val="Bezriadkovania"/>
        <w:numPr>
          <w:ilvl w:val="1"/>
          <w:numId w:val="3"/>
        </w:numPr>
        <w:spacing w:before="120" w:after="120"/>
        <w:jc w:val="both"/>
      </w:pPr>
      <w:r>
        <w:t>Neoddeliteľnou súčasťou tejto Zmluvy sú:</w:t>
      </w:r>
    </w:p>
    <w:p w14:paraId="20042DA6" w14:textId="77777777" w:rsidR="00B916B8" w:rsidRDefault="00B916B8" w:rsidP="00D93C56">
      <w:pPr>
        <w:pStyle w:val="Bezriadkovania"/>
        <w:numPr>
          <w:ilvl w:val="2"/>
          <w:numId w:val="3"/>
        </w:numPr>
        <w:spacing w:before="120" w:after="120"/>
        <w:jc w:val="both"/>
      </w:pPr>
      <w:r>
        <w:t>Príloha č. 1:Zamestnanci poverení komunikáciou,</w:t>
      </w:r>
    </w:p>
    <w:p w14:paraId="5B57F9D1" w14:textId="77777777" w:rsidR="00B916B8" w:rsidRDefault="00B916B8" w:rsidP="00D93C56">
      <w:pPr>
        <w:pStyle w:val="Bezriadkovania"/>
        <w:numPr>
          <w:ilvl w:val="2"/>
          <w:numId w:val="3"/>
        </w:numPr>
        <w:spacing w:before="120" w:after="120"/>
        <w:jc w:val="both"/>
      </w:pPr>
      <w:r>
        <w:t>Príloha č. 2:</w:t>
      </w:r>
      <w:r w:rsidRPr="00B440B9">
        <w:t>Potvrdenie subjektu zúčtovania, ktorý prevzal za Dodávateľa RE zodpovednosť za odchýlku</w:t>
      </w:r>
      <w:r>
        <w:t>,</w:t>
      </w:r>
    </w:p>
    <w:p w14:paraId="5917AFD3" w14:textId="77777777" w:rsidR="00B916B8" w:rsidRDefault="00B916B8" w:rsidP="00D93C56">
      <w:pPr>
        <w:pStyle w:val="Bezriadkovania"/>
        <w:numPr>
          <w:ilvl w:val="2"/>
          <w:numId w:val="3"/>
        </w:numPr>
        <w:spacing w:before="120" w:after="120"/>
        <w:jc w:val="both"/>
      </w:pPr>
      <w:r>
        <w:t xml:space="preserve">Príloha č. 3: </w:t>
      </w:r>
      <w:r w:rsidRPr="00B440B9">
        <w:t>Súhlas Dodávateľa RE s poskytovaním technických veličín z vyhodnotenia RE subjektu zúčtovania, ktorý za Dodávateľa RE prevzal zodpovednosť za odchýlku</w:t>
      </w:r>
      <w:r>
        <w:t>,</w:t>
      </w:r>
    </w:p>
    <w:p w14:paraId="7CC116E1" w14:textId="77777777" w:rsidR="00B916B8" w:rsidRDefault="00B916B8" w:rsidP="00D93C56">
      <w:pPr>
        <w:pStyle w:val="Bezriadkovania"/>
        <w:numPr>
          <w:ilvl w:val="2"/>
          <w:numId w:val="3"/>
        </w:numPr>
        <w:spacing w:before="120" w:after="120"/>
        <w:jc w:val="both"/>
      </w:pPr>
      <w:r>
        <w:t>Príloha č. 4: Výpis z Obchodného registra - platí iba pre subjekt bez vlastnej zodpovednosti za odchýlku,</w:t>
      </w:r>
    </w:p>
    <w:p w14:paraId="16979ECA" w14:textId="77777777" w:rsidR="00B916B8" w:rsidRDefault="00B916B8" w:rsidP="00D93C56">
      <w:pPr>
        <w:pStyle w:val="Bezriadkovania"/>
        <w:numPr>
          <w:ilvl w:val="2"/>
          <w:numId w:val="3"/>
        </w:numPr>
        <w:spacing w:before="120" w:after="120"/>
        <w:jc w:val="both"/>
      </w:pPr>
      <w:r>
        <w:t>Príloha č. 5: Povolenie na podnikanie v energetike - platí iba pre subjekt bez vlastnej zodpovednosti za odchýlku.</w:t>
      </w:r>
    </w:p>
    <w:p w14:paraId="51B37855" w14:textId="77777777" w:rsidR="00B916B8" w:rsidRDefault="00B916B8" w:rsidP="00D93C56">
      <w:pPr>
        <w:pStyle w:val="Bezriadkovania"/>
        <w:numPr>
          <w:ilvl w:val="1"/>
          <w:numId w:val="3"/>
        </w:numPr>
        <w:spacing w:before="120" w:after="120"/>
        <w:jc w:val="both"/>
      </w:pPr>
      <w:r>
        <w:t>Pri zmene údajov uvedených v</w:t>
      </w:r>
      <w:r w:rsidR="0026418E">
        <w:t> </w:t>
      </w:r>
      <w:r>
        <w:t>týchto prílohách, sa Zmluvné strany zaväzujú oznámiť túto zmenu obratom príslušnej Zmluvnej strane doporučeným listom. V týchto prípadoch nie je nutné podpisovať Dodatok k Zmluve.</w:t>
      </w:r>
    </w:p>
    <w:p w14:paraId="6D1C439F" w14:textId="77777777" w:rsidR="00B916B8" w:rsidRDefault="00B916B8" w:rsidP="00D93C56">
      <w:pPr>
        <w:pStyle w:val="Bezriadkovania"/>
        <w:numPr>
          <w:ilvl w:val="1"/>
          <w:numId w:val="3"/>
        </w:numPr>
        <w:spacing w:before="120" w:after="120"/>
        <w:jc w:val="both"/>
      </w:pPr>
      <w:r>
        <w:t>Obe Zmluvné strany sa vzájomne zaväzujú, že budú chrániť a utajovať pred tretími osobami dôverné informácie. Žiadna zo Zmluvných strán bez písomného súhlasu druhej zmluvnej strany neposkytne informácie o plnení tejto Zmluvy tretej osobe, a to ani v čiastočnom rozsahu. Ustanovenia tohto článku sa nevzťahujú na informačnú povinnosť vyplývajúcu zo všeobecne záväzných právnych predpisov, informácie podávané bankám, daňovým, právnym poradcom, audítorom a dozorným orgánom oboch Zmluvných strán.</w:t>
      </w:r>
    </w:p>
    <w:p w14:paraId="705B166E" w14:textId="77777777" w:rsidR="00B916B8" w:rsidRDefault="00B916B8" w:rsidP="00D93C56">
      <w:pPr>
        <w:pStyle w:val="Bezriadkovania"/>
        <w:numPr>
          <w:ilvl w:val="1"/>
          <w:numId w:val="3"/>
        </w:numPr>
        <w:spacing w:before="120" w:after="120"/>
        <w:jc w:val="both"/>
      </w:pPr>
      <w:r>
        <w:t>Zmluvné strany sa dohodli, že bez predchádzajúceho písomného súhlasu druhej Zmluvnej strany nie je možné postúpiť akúkoľvek pohľadávku z tejto Zmluvy voči druhej Zmluvnej strane.</w:t>
      </w:r>
    </w:p>
    <w:p w14:paraId="71787AE9" w14:textId="77777777" w:rsidR="00B916B8" w:rsidRDefault="00B916B8" w:rsidP="00D93C56">
      <w:pPr>
        <w:pStyle w:val="Bezriadkovania"/>
        <w:numPr>
          <w:ilvl w:val="1"/>
          <w:numId w:val="3"/>
        </w:numPr>
        <w:spacing w:before="120" w:after="120"/>
        <w:jc w:val="both"/>
      </w:pPr>
      <w:bookmarkStart w:id="4" w:name="_Ref338850800"/>
      <w:r>
        <w:t>Ustanovenia o ochrane informácií, zmluvných pokutách, náhrade škody a riešení sporov zostávajú v platnosti ešte tri roky po skončení účinnosti tejto Zmluvy.</w:t>
      </w:r>
      <w:bookmarkEnd w:id="4"/>
    </w:p>
    <w:p w14:paraId="36102DB6" w14:textId="77777777" w:rsidR="00B916B8" w:rsidRDefault="00B916B8" w:rsidP="00D93C56">
      <w:pPr>
        <w:pStyle w:val="Bezriadkovania"/>
        <w:numPr>
          <w:ilvl w:val="1"/>
          <w:numId w:val="3"/>
        </w:numPr>
        <w:spacing w:before="120" w:after="120"/>
        <w:jc w:val="both"/>
      </w:pPr>
      <w:bookmarkStart w:id="5" w:name="_Ref338687733"/>
      <w:r>
        <w:t>Ak niektoré ustanovenia tejto Zmluvy budú prekonané novou právnou úpravou, zmenou Predpisov, resp. Metodickým usmernením ÚRSO alebo zmenou PPOKTE, a.s.</w:t>
      </w:r>
      <w:r w:rsidRPr="003163B7">
        <w:t>,</w:t>
      </w:r>
      <w:r>
        <w:t xml:space="preserve"> zaväzujú sa obe Zmluvné strany dotknuté ustanovenia tejto Zmluvy nahradiť novým ustanovením, ktoré bude určené novou právnou úpravou, alebo zmenou, alebo sa dohodnú na ustanovení, ktoré sa najviac priblíži účelu, ktorého úpravu mali obe Zmluvné strany na mysli pri formulovaní tejto Zmluvy. Ostatné ustanovenia tejto Zmluvy zostávajú bez zmeny. V prípade, že dôjde k rozsiahlym legislatívnym zmenám právneho poriadku Slovenskej republiky, ktoré by mali značný dopad na ustanovenia Zmluvy a bolo by komplikovanejšie vzťahy upravené touto Zmluvou upraviť prostredníctvom dodatkov ako uzatvoriť novú zmluvu, je oprávnená ktorákoľvek zo Zmluvných strán okamžite odstúpiť od Zmluvy a odmietajúca strana nemá nárok na žiadnu kompenzáciu, náhradu škody alebo inú platbu, ktorú by inak mohla od strany, ktorá od Zmluvy odstúpila, požadovať.</w:t>
      </w:r>
      <w:bookmarkEnd w:id="5"/>
    </w:p>
    <w:p w14:paraId="25B67CB4" w14:textId="77777777" w:rsidR="00B916B8" w:rsidRDefault="00B916B8" w:rsidP="00D93C56">
      <w:pPr>
        <w:pStyle w:val="Bezriadkovania"/>
        <w:numPr>
          <w:ilvl w:val="1"/>
          <w:numId w:val="3"/>
        </w:numPr>
        <w:spacing w:before="120" w:after="120"/>
        <w:jc w:val="both"/>
      </w:pPr>
      <w:bookmarkStart w:id="6" w:name="_Ref338687756"/>
      <w:r>
        <w:rPr>
          <w:rFonts w:cs="Arial"/>
          <w:szCs w:val="24"/>
        </w:rPr>
        <w:lastRenderedPageBreak/>
        <w:t>Pokiaľ by niektoré z ustanovení tejto Zmluvy bolo, alebo sa stalo neúčinným, neplatným, nezákonným alebo nevykonateľným (ďalej aj ako “vada pôvodného ustanovenia”), nebude tým dotknutá, ani obmedzená platnosť, účinnosť a vykonateľnosť ostatných ustanovení tejto Zmluvy. Zmluvné strany sa zaväzujú, že takto dotknuté ustanovenia Zmluvy nahradia novým ustanovením, ktoré netrpí vadou pôvodného ustanovenia a v čo najvyššej možnej miere zodpovedá duchu a účelu úpravy práv a povinností, obsiahnutých v zrušenom ustanovení</w:t>
      </w:r>
      <w:r>
        <w:t>.</w:t>
      </w:r>
      <w:bookmarkEnd w:id="6"/>
    </w:p>
    <w:p w14:paraId="64DADA35" w14:textId="77777777" w:rsidR="00B916B8" w:rsidRDefault="00B916B8" w:rsidP="00D93C56">
      <w:pPr>
        <w:pStyle w:val="Bezriadkovania"/>
        <w:numPr>
          <w:ilvl w:val="1"/>
          <w:numId w:val="3"/>
        </w:numPr>
        <w:spacing w:before="120" w:after="120"/>
        <w:jc w:val="both"/>
      </w:pPr>
      <w:r>
        <w:t>Vzťahy touto Zmluvou výslovne neupravené sa budú prednostne riadiť platnými právnymi predpismi Slovenskej republiky, Obchodným zákonníkom, príslušnými vyhláškami a nariadeniami vlády, Rozhodnutiami ÚRSO, PP OKTE.</w:t>
      </w:r>
    </w:p>
    <w:p w14:paraId="3AF214C5" w14:textId="77777777" w:rsidR="00B916B8" w:rsidRDefault="00B916B8" w:rsidP="00D93C56">
      <w:pPr>
        <w:pStyle w:val="Bezriadkovania"/>
        <w:numPr>
          <w:ilvl w:val="1"/>
          <w:numId w:val="3"/>
        </w:numPr>
        <w:spacing w:before="120" w:after="120"/>
        <w:jc w:val="both"/>
      </w:pPr>
      <w:r>
        <w:t>Táto Zmluva je vyhotovená v štyroch rovnopisoch v slovenskom jazyku, po dvoch rovnopisoch pre každú zmluvnú stranu. Text v inom ako slovenskom jazyku musí byť zhodný s textom v slovenskom jazyku. Oficiálna komunikácia vo vzťahu k tejto Zmluve sa uskutočňuje v slovenskom jazyku. V prípade sporu je rozhodujúci text tejto Zmluvy v slovenskom jazyku.</w:t>
      </w:r>
    </w:p>
    <w:p w14:paraId="7413AA85" w14:textId="77777777" w:rsidR="00B916B8" w:rsidRDefault="00B916B8" w:rsidP="00D93C56">
      <w:pPr>
        <w:pStyle w:val="Bezriadkovania"/>
        <w:numPr>
          <w:ilvl w:val="1"/>
          <w:numId w:val="3"/>
        </w:numPr>
        <w:spacing w:before="120" w:after="120"/>
        <w:jc w:val="both"/>
      </w:pPr>
      <w:r w:rsidRPr="0087291C">
        <w:t>Zmluvné strany vyhlasujú, že Zmluva nebola uzavretá v tiesni ani za nápadne nevýhodných podmienok a predstavuje prejav ich vôle, ktorý je urobený slobodne, vážne, určite a zrozumiteľne, a ktorý nie je urobený v omyle a svojím obsahom alebo účelom neodporuje alebo neobchádza zákon. Ďalej zmluvné strany vyhlasujú, že ich zmluvná voľnosť nie je žiadnym spôsobom obmedzená, sú spôsobilé na uzatvorenie tejto Zmluvy a jej plnenie je možné, sú oboznámené s jej obsahom a bez výhrad s ním súhlasia, na znak čoho k tejto Zmluve pripájajú svoje podpisy</w:t>
      </w:r>
    </w:p>
    <w:p w14:paraId="3181B22B" w14:textId="77777777" w:rsidR="00B916B8" w:rsidRDefault="00B916B8" w:rsidP="00D93C56">
      <w:pPr>
        <w:pStyle w:val="Bezriadkovania"/>
      </w:pPr>
    </w:p>
    <w:p w14:paraId="579CED38" w14:textId="77777777" w:rsidR="00B916B8" w:rsidRDefault="00B916B8" w:rsidP="00D93C56">
      <w:pPr>
        <w:pStyle w:val="Bezriadkovania"/>
      </w:pPr>
    </w:p>
    <w:p w14:paraId="3A454FC4" w14:textId="77777777" w:rsidR="0018177A" w:rsidRDefault="0018177A" w:rsidP="0018177A">
      <w:pPr>
        <w:pStyle w:val="Bezriadkovania"/>
        <w:keepNext/>
        <w:keepLines/>
        <w:rPr>
          <w:b/>
        </w:rPr>
      </w:pPr>
      <w:r>
        <w:rPr>
          <w:b/>
        </w:rPr>
        <w:t>Dodávateľ RE</w:t>
      </w:r>
      <w:r w:rsidRPr="00506F7D">
        <w:rPr>
          <w:b/>
        </w:rPr>
        <w:t>:</w:t>
      </w:r>
    </w:p>
    <w:p w14:paraId="1011E48D" w14:textId="77777777" w:rsidR="0018177A" w:rsidRDefault="0018177A" w:rsidP="0018177A">
      <w:pPr>
        <w:pStyle w:val="Bezriadkovania"/>
        <w:keepNext/>
        <w:keepLines/>
      </w:pPr>
      <w:r w:rsidRPr="005D20BC">
        <w:t>Dátum:</w:t>
      </w:r>
    </w:p>
    <w:p w14:paraId="1979C09A" w14:textId="77777777" w:rsidR="0018177A" w:rsidRDefault="0018177A" w:rsidP="0018177A">
      <w:pPr>
        <w:pStyle w:val="Bezriadkovania"/>
        <w:keepNext/>
        <w:keepLines/>
      </w:pPr>
    </w:p>
    <w:p w14:paraId="6EDEA371" w14:textId="77777777" w:rsidR="0018177A" w:rsidRDefault="0018177A" w:rsidP="0018177A">
      <w:pPr>
        <w:pStyle w:val="Bezriadkovania"/>
        <w:keepNext/>
        <w:keepLines/>
      </w:pPr>
    </w:p>
    <w:p w14:paraId="6E311B89" w14:textId="77777777" w:rsidR="0018177A" w:rsidRDefault="0018177A" w:rsidP="0018177A">
      <w:pPr>
        <w:pStyle w:val="Bezriadkovania"/>
        <w:keepNext/>
        <w:keepLines/>
      </w:pPr>
    </w:p>
    <w:p w14:paraId="6CFA4FC7" w14:textId="77777777" w:rsidR="0018177A" w:rsidRDefault="0018177A" w:rsidP="0018177A">
      <w:pPr>
        <w:pStyle w:val="Bezriadkovania"/>
        <w:keepNext/>
        <w:keepLines/>
      </w:pPr>
    </w:p>
    <w:p w14:paraId="59D36C9E" w14:textId="77777777" w:rsidR="0018177A" w:rsidRDefault="0018177A" w:rsidP="0018177A">
      <w:pPr>
        <w:pStyle w:val="Bezriadkovania"/>
        <w:keepNext/>
        <w:keepLines/>
      </w:pPr>
    </w:p>
    <w:p w14:paraId="1EFAD5D2" w14:textId="77777777" w:rsidR="0018177A" w:rsidRDefault="0018177A" w:rsidP="0018177A">
      <w:pPr>
        <w:pStyle w:val="Bezriadkovania"/>
        <w:keepNext/>
        <w:keepLines/>
        <w:tabs>
          <w:tab w:val="left" w:pos="1315"/>
        </w:tabs>
      </w:pPr>
    </w:p>
    <w:p w14:paraId="17E9ACC3" w14:textId="77777777" w:rsidR="0018177A" w:rsidRDefault="0018177A" w:rsidP="0018177A">
      <w:pPr>
        <w:pStyle w:val="Bezriadkovania"/>
        <w:keepNext/>
        <w:keepLines/>
      </w:pPr>
    </w:p>
    <w:p w14:paraId="7A9575A6" w14:textId="77777777" w:rsidR="0018177A" w:rsidRDefault="0018177A" w:rsidP="0018177A">
      <w:pPr>
        <w:pStyle w:val="Bezriadkovania"/>
        <w:keepNext/>
        <w:keepLines/>
      </w:pPr>
      <w:r w:rsidRPr="005D20BC">
        <w:t>..................................................</w:t>
      </w:r>
      <w:r w:rsidRPr="005D20BC">
        <w:tab/>
      </w:r>
      <w:r>
        <w:tab/>
      </w:r>
      <w:r w:rsidRPr="005D20BC">
        <w:tab/>
      </w:r>
      <w:r w:rsidRPr="005D20BC">
        <w:tab/>
        <w:t>..................................................</w:t>
      </w:r>
    </w:p>
    <w:p w14:paraId="52CF6614" w14:textId="77777777" w:rsidR="0018177A" w:rsidRDefault="0018177A" w:rsidP="0018177A">
      <w:pPr>
        <w:pStyle w:val="Bezriadkovania"/>
        <w:keepNext/>
        <w:keepLines/>
      </w:pPr>
    </w:p>
    <w:p w14:paraId="798BE202" w14:textId="77777777" w:rsidR="0018177A" w:rsidRDefault="0018177A" w:rsidP="0018177A">
      <w:pPr>
        <w:pStyle w:val="Bezriadkovania"/>
        <w:keepNext/>
        <w:keepLines/>
      </w:pPr>
    </w:p>
    <w:p w14:paraId="066A5147" w14:textId="77777777" w:rsidR="0018177A" w:rsidRDefault="0018177A" w:rsidP="0018177A">
      <w:pPr>
        <w:pStyle w:val="Bezriadkovania"/>
        <w:keepNext/>
        <w:keepLines/>
      </w:pPr>
    </w:p>
    <w:p w14:paraId="37BCCFA9" w14:textId="77777777" w:rsidR="0018177A" w:rsidRDefault="0018177A" w:rsidP="0018177A">
      <w:pPr>
        <w:pStyle w:val="Bezriadkovania"/>
        <w:keepNext/>
        <w:keepLines/>
      </w:pPr>
    </w:p>
    <w:p w14:paraId="61774914" w14:textId="77777777" w:rsidR="0018177A" w:rsidRDefault="0018177A" w:rsidP="0018177A">
      <w:pPr>
        <w:pStyle w:val="Bezriadkovania"/>
        <w:keepNext/>
        <w:keepLines/>
        <w:rPr>
          <w:b/>
        </w:rPr>
      </w:pPr>
      <w:r>
        <w:rPr>
          <w:b/>
        </w:rPr>
        <w:t>OKTE, a.s.</w:t>
      </w:r>
      <w:r w:rsidRPr="005D20BC">
        <w:rPr>
          <w:b/>
        </w:rPr>
        <w:t>:</w:t>
      </w:r>
    </w:p>
    <w:p w14:paraId="383B776E" w14:textId="77777777" w:rsidR="0018177A" w:rsidRDefault="0018177A" w:rsidP="0018177A">
      <w:pPr>
        <w:pStyle w:val="Bezriadkovania"/>
        <w:keepNext/>
        <w:keepLines/>
      </w:pPr>
      <w:r w:rsidRPr="005D20BC">
        <w:t>Dátum:</w:t>
      </w:r>
    </w:p>
    <w:p w14:paraId="5C6197C4" w14:textId="77777777" w:rsidR="0018177A" w:rsidRDefault="0018177A" w:rsidP="0018177A">
      <w:pPr>
        <w:pStyle w:val="Bezriadkovania"/>
        <w:keepNext/>
        <w:keepLines/>
        <w:rPr>
          <w:b/>
        </w:rPr>
      </w:pPr>
    </w:p>
    <w:p w14:paraId="27082E1E" w14:textId="77777777" w:rsidR="0018177A" w:rsidRDefault="0018177A" w:rsidP="0018177A">
      <w:pPr>
        <w:pStyle w:val="Bezriadkovania"/>
        <w:keepNext/>
        <w:keepLines/>
      </w:pPr>
    </w:p>
    <w:p w14:paraId="7FDE0EA9" w14:textId="77777777" w:rsidR="0018177A" w:rsidRDefault="0018177A" w:rsidP="0018177A">
      <w:pPr>
        <w:pStyle w:val="Bezriadkovania"/>
        <w:keepNext/>
        <w:keepLines/>
      </w:pPr>
    </w:p>
    <w:p w14:paraId="04E55A77" w14:textId="77777777" w:rsidR="0018177A" w:rsidRDefault="0018177A" w:rsidP="0018177A">
      <w:pPr>
        <w:pStyle w:val="Bezriadkovania"/>
        <w:keepNext/>
        <w:keepLines/>
      </w:pPr>
    </w:p>
    <w:p w14:paraId="6DCC3E73" w14:textId="77777777" w:rsidR="0018177A" w:rsidRDefault="0018177A" w:rsidP="0018177A">
      <w:pPr>
        <w:pStyle w:val="Bezriadkovania"/>
        <w:keepNext/>
        <w:keepLines/>
      </w:pPr>
    </w:p>
    <w:p w14:paraId="4F84BCF5" w14:textId="77777777" w:rsidR="0018177A" w:rsidRDefault="0018177A" w:rsidP="0018177A">
      <w:pPr>
        <w:pStyle w:val="Bezriadkovania"/>
        <w:keepNext/>
        <w:keepLines/>
      </w:pPr>
    </w:p>
    <w:p w14:paraId="3251F485" w14:textId="77777777" w:rsidR="0018177A" w:rsidRDefault="0018177A" w:rsidP="0018177A">
      <w:pPr>
        <w:pStyle w:val="Bezriadkovania"/>
        <w:keepNext/>
        <w:keepLines/>
      </w:pPr>
    </w:p>
    <w:p w14:paraId="0D1E7347" w14:textId="77777777" w:rsidR="0018177A" w:rsidRDefault="0018177A" w:rsidP="0018177A">
      <w:pPr>
        <w:pStyle w:val="Bezriadkovania"/>
        <w:keepNext/>
        <w:keepLines/>
      </w:pPr>
      <w:r w:rsidRPr="005D20BC">
        <w:t>..................................................</w:t>
      </w:r>
      <w:r w:rsidRPr="005D20BC">
        <w:tab/>
      </w:r>
      <w:r>
        <w:tab/>
      </w:r>
      <w:r w:rsidRPr="005D20BC">
        <w:tab/>
      </w:r>
      <w:r w:rsidRPr="005D20BC">
        <w:tab/>
        <w:t>..................................................</w:t>
      </w:r>
    </w:p>
    <w:p w14:paraId="64391FEA" w14:textId="6D8BB5F0" w:rsidR="0018177A" w:rsidRDefault="00716F72" w:rsidP="6357AA6F">
      <w:pPr>
        <w:pStyle w:val="Bezriadkovania"/>
        <w:keepNext/>
        <w:keepLines/>
        <w:rPr>
          <w:b/>
          <w:bCs/>
        </w:rPr>
      </w:pPr>
      <w:r w:rsidRPr="6357AA6F">
        <w:rPr>
          <w:b/>
          <w:bCs/>
        </w:rPr>
        <w:t>Miloš Bikár</w:t>
      </w:r>
      <w:r>
        <w:tab/>
      </w:r>
      <w:r>
        <w:tab/>
      </w:r>
      <w:r>
        <w:tab/>
      </w:r>
      <w:r>
        <w:tab/>
      </w:r>
      <w:r>
        <w:tab/>
      </w:r>
      <w:r>
        <w:tab/>
      </w:r>
      <w:r>
        <w:tab/>
      </w:r>
      <w:r w:rsidRPr="6357AA6F">
        <w:rPr>
          <w:b/>
          <w:bCs/>
        </w:rPr>
        <w:t xml:space="preserve">Ing. Martin </w:t>
      </w:r>
      <w:r w:rsidRPr="6357AA6F">
        <w:rPr>
          <w:rFonts w:cs="Arial"/>
          <w:b/>
          <w:bCs/>
        </w:rPr>
        <w:t>Švantner</w:t>
      </w:r>
    </w:p>
    <w:p w14:paraId="7E8A4BE4" w14:textId="77777777" w:rsidR="0018177A" w:rsidRDefault="0018177A" w:rsidP="0018177A">
      <w:pPr>
        <w:pStyle w:val="Bezriadkovania"/>
        <w:keepNext/>
        <w:keepLines/>
      </w:pPr>
      <w:r>
        <w:t>predseda predstavenstva</w:t>
      </w:r>
      <w:r>
        <w:tab/>
      </w:r>
      <w:r>
        <w:tab/>
      </w:r>
      <w:r>
        <w:tab/>
      </w:r>
      <w:r>
        <w:tab/>
      </w:r>
      <w:r>
        <w:tab/>
      </w:r>
      <w:r w:rsidRPr="6357AA6F">
        <w:rPr>
          <w:rFonts w:cs="Arial"/>
        </w:rPr>
        <w:t>člen predstavenstva</w:t>
      </w:r>
    </w:p>
    <w:p w14:paraId="1A8E5BA6" w14:textId="77777777" w:rsidR="00B916B8" w:rsidRDefault="00B916B8" w:rsidP="0018177A">
      <w:pPr>
        <w:pStyle w:val="Bezriadkovania"/>
      </w:pPr>
    </w:p>
    <w:sectPr w:rsidR="00B916B8" w:rsidSect="003179D7">
      <w:headerReference w:type="default" r:id="rId10"/>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6461D" w14:textId="77777777" w:rsidR="00E755DF" w:rsidRDefault="00E755DF" w:rsidP="003179D7">
      <w:pPr>
        <w:spacing w:after="0" w:line="240" w:lineRule="auto"/>
      </w:pPr>
      <w:r>
        <w:separator/>
      </w:r>
    </w:p>
  </w:endnote>
  <w:endnote w:type="continuationSeparator" w:id="0">
    <w:p w14:paraId="250E4304" w14:textId="77777777" w:rsidR="00E755DF" w:rsidRDefault="00E755DF" w:rsidP="003179D7">
      <w:pPr>
        <w:spacing w:after="0" w:line="240" w:lineRule="auto"/>
      </w:pPr>
      <w:r>
        <w:continuationSeparator/>
      </w:r>
    </w:p>
  </w:endnote>
  <w:endnote w:type="continuationNotice" w:id="1">
    <w:p w14:paraId="09D63B02" w14:textId="77777777" w:rsidR="00E755DF" w:rsidRDefault="00E755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B20E" w14:textId="77777777" w:rsidR="00B916B8" w:rsidRPr="00C77F4B" w:rsidRDefault="00B916B8" w:rsidP="00D10722">
    <w:pPr>
      <w:pStyle w:val="Nzov"/>
      <w:rPr>
        <w:rFonts w:ascii="Times New Roman" w:hAnsi="Times New Roman"/>
        <w:b/>
        <w:bCs/>
        <w:i/>
        <w:iCs/>
        <w:color w:val="4F81BD"/>
        <w:spacing w:val="0"/>
        <w:sz w:val="18"/>
        <w:szCs w:val="32"/>
        <w:u w:val="single"/>
      </w:rPr>
    </w:pPr>
    <w:r w:rsidRPr="00C77F4B">
      <w:rPr>
        <w:rFonts w:ascii="Times New Roman" w:hAnsi="Times New Roman"/>
        <w:b/>
        <w:bCs/>
        <w:i/>
        <w:iCs/>
        <w:color w:val="4F81BD"/>
        <w:spacing w:val="0"/>
        <w:sz w:val="18"/>
        <w:szCs w:val="32"/>
        <w:u w:val="single"/>
      </w:rPr>
      <w:t>____________________________________________________________________________________________________</w:t>
    </w:r>
  </w:p>
  <w:p w14:paraId="3F949402" w14:textId="77777777" w:rsidR="00B916B8" w:rsidRDefault="00B916B8" w:rsidP="00D10722">
    <w:pPr>
      <w:pStyle w:val="Pta"/>
      <w:jc w:val="right"/>
    </w:pPr>
    <w:r>
      <w:rPr>
        <w:sz w:val="18"/>
        <w:szCs w:val="18"/>
      </w:rPr>
      <w:t>Zmluva o zúčtovaní regulačnej elektriny</w:t>
    </w:r>
    <w:r>
      <w:rPr>
        <w:sz w:val="18"/>
        <w:szCs w:val="18"/>
      </w:rPr>
      <w:tab/>
    </w:r>
    <w:r>
      <w:rPr>
        <w:sz w:val="18"/>
        <w:szCs w:val="18"/>
      </w:rPr>
      <w:tab/>
    </w:r>
    <w:r w:rsidRPr="003179D7">
      <w:rPr>
        <w:sz w:val="18"/>
        <w:szCs w:val="18"/>
      </w:rPr>
      <w:t xml:space="preserve">Strana </w:t>
    </w:r>
    <w:r w:rsidRPr="003179D7">
      <w:rPr>
        <w:b/>
        <w:bCs/>
        <w:sz w:val="18"/>
        <w:szCs w:val="18"/>
      </w:rPr>
      <w:fldChar w:fldCharType="begin"/>
    </w:r>
    <w:r w:rsidRPr="003179D7">
      <w:rPr>
        <w:b/>
        <w:bCs/>
        <w:sz w:val="18"/>
        <w:szCs w:val="18"/>
      </w:rPr>
      <w:instrText>PAGE</w:instrText>
    </w:r>
    <w:r w:rsidRPr="003179D7">
      <w:rPr>
        <w:b/>
        <w:bCs/>
        <w:sz w:val="18"/>
        <w:szCs w:val="18"/>
      </w:rPr>
      <w:fldChar w:fldCharType="separate"/>
    </w:r>
    <w:r w:rsidR="00546094">
      <w:rPr>
        <w:b/>
        <w:bCs/>
        <w:noProof/>
        <w:sz w:val="18"/>
        <w:szCs w:val="18"/>
      </w:rPr>
      <w:t>8</w:t>
    </w:r>
    <w:r w:rsidRPr="003179D7">
      <w:rPr>
        <w:b/>
        <w:bCs/>
        <w:sz w:val="18"/>
        <w:szCs w:val="18"/>
      </w:rPr>
      <w:fldChar w:fldCharType="end"/>
    </w:r>
    <w:r>
      <w:rPr>
        <w:sz w:val="18"/>
        <w:szCs w:val="18"/>
      </w:rPr>
      <w:t>/</w:t>
    </w:r>
    <w:r w:rsidRPr="003179D7">
      <w:rPr>
        <w:b/>
        <w:bCs/>
        <w:sz w:val="18"/>
        <w:szCs w:val="18"/>
      </w:rPr>
      <w:fldChar w:fldCharType="begin"/>
    </w:r>
    <w:r w:rsidRPr="003179D7">
      <w:rPr>
        <w:b/>
        <w:bCs/>
        <w:sz w:val="18"/>
        <w:szCs w:val="18"/>
      </w:rPr>
      <w:instrText>NUMPAGES</w:instrText>
    </w:r>
    <w:r w:rsidRPr="003179D7">
      <w:rPr>
        <w:b/>
        <w:bCs/>
        <w:sz w:val="18"/>
        <w:szCs w:val="18"/>
      </w:rPr>
      <w:fldChar w:fldCharType="separate"/>
    </w:r>
    <w:r w:rsidR="00546094">
      <w:rPr>
        <w:b/>
        <w:bCs/>
        <w:noProof/>
        <w:sz w:val="18"/>
        <w:szCs w:val="18"/>
      </w:rPr>
      <w:t>8</w:t>
    </w:r>
    <w:r w:rsidRPr="003179D7">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212C4E4" w14:paraId="7748F00E" w14:textId="77777777" w:rsidTr="2212C4E4">
      <w:tc>
        <w:tcPr>
          <w:tcW w:w="3020" w:type="dxa"/>
        </w:tcPr>
        <w:p w14:paraId="6BAB0F8D" w14:textId="636BE5FF" w:rsidR="2212C4E4" w:rsidRDefault="2212C4E4" w:rsidP="2212C4E4">
          <w:pPr>
            <w:pStyle w:val="Hlavika"/>
            <w:ind w:left="-115"/>
          </w:pPr>
        </w:p>
      </w:tc>
      <w:tc>
        <w:tcPr>
          <w:tcW w:w="3020" w:type="dxa"/>
        </w:tcPr>
        <w:p w14:paraId="679B1C6A" w14:textId="193F309F" w:rsidR="2212C4E4" w:rsidRDefault="2212C4E4" w:rsidP="2212C4E4">
          <w:pPr>
            <w:pStyle w:val="Hlavika"/>
            <w:jc w:val="center"/>
          </w:pPr>
        </w:p>
      </w:tc>
      <w:tc>
        <w:tcPr>
          <w:tcW w:w="3020" w:type="dxa"/>
        </w:tcPr>
        <w:p w14:paraId="11F51269" w14:textId="5324D0FC" w:rsidR="2212C4E4" w:rsidRDefault="2212C4E4" w:rsidP="2212C4E4">
          <w:pPr>
            <w:pStyle w:val="Hlavika"/>
            <w:ind w:right="-115"/>
            <w:jc w:val="right"/>
          </w:pPr>
        </w:p>
      </w:tc>
    </w:tr>
  </w:tbl>
  <w:p w14:paraId="6A07CA0F" w14:textId="628C9D6C" w:rsidR="2212C4E4" w:rsidRDefault="2212C4E4" w:rsidP="2212C4E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878D7" w14:textId="77777777" w:rsidR="00E755DF" w:rsidRDefault="00E755DF" w:rsidP="003179D7">
      <w:pPr>
        <w:spacing w:after="0" w:line="240" w:lineRule="auto"/>
      </w:pPr>
      <w:r>
        <w:separator/>
      </w:r>
    </w:p>
  </w:footnote>
  <w:footnote w:type="continuationSeparator" w:id="0">
    <w:p w14:paraId="4F16935C" w14:textId="77777777" w:rsidR="00E755DF" w:rsidRDefault="00E755DF" w:rsidP="003179D7">
      <w:pPr>
        <w:spacing w:after="0" w:line="240" w:lineRule="auto"/>
      </w:pPr>
      <w:r>
        <w:continuationSeparator/>
      </w:r>
    </w:p>
  </w:footnote>
  <w:footnote w:type="continuationNotice" w:id="1">
    <w:p w14:paraId="590E1450" w14:textId="77777777" w:rsidR="00E755DF" w:rsidRDefault="00E755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212C4E4" w14:paraId="4B965371" w14:textId="77777777" w:rsidTr="2212C4E4">
      <w:tc>
        <w:tcPr>
          <w:tcW w:w="3020" w:type="dxa"/>
        </w:tcPr>
        <w:p w14:paraId="11335DB9" w14:textId="3A534AC2" w:rsidR="2212C4E4" w:rsidRDefault="2212C4E4" w:rsidP="2212C4E4">
          <w:pPr>
            <w:pStyle w:val="Hlavika"/>
            <w:ind w:left="-115"/>
          </w:pPr>
        </w:p>
      </w:tc>
      <w:tc>
        <w:tcPr>
          <w:tcW w:w="3020" w:type="dxa"/>
        </w:tcPr>
        <w:p w14:paraId="3FC74D0C" w14:textId="092D4B6E" w:rsidR="2212C4E4" w:rsidRDefault="2212C4E4" w:rsidP="2212C4E4">
          <w:pPr>
            <w:pStyle w:val="Hlavika"/>
            <w:jc w:val="center"/>
          </w:pPr>
        </w:p>
      </w:tc>
      <w:tc>
        <w:tcPr>
          <w:tcW w:w="3020" w:type="dxa"/>
        </w:tcPr>
        <w:p w14:paraId="653A86CF" w14:textId="71EC823F" w:rsidR="2212C4E4" w:rsidRDefault="2212C4E4" w:rsidP="2212C4E4">
          <w:pPr>
            <w:pStyle w:val="Hlavika"/>
            <w:ind w:right="-115"/>
            <w:jc w:val="right"/>
          </w:pPr>
        </w:p>
      </w:tc>
    </w:tr>
  </w:tbl>
  <w:p w14:paraId="4A32C663" w14:textId="2A608ED6" w:rsidR="2212C4E4" w:rsidRDefault="2212C4E4" w:rsidP="2212C4E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7066EB4"/>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4EDEF3D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2D6A73"/>
    <w:multiLevelType w:val="hybridMultilevel"/>
    <w:tmpl w:val="66E4BB86"/>
    <w:lvl w:ilvl="0" w:tplc="233408EA">
      <w:start w:val="1"/>
      <w:numFmt w:val="decimal"/>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9C20DFE"/>
    <w:multiLevelType w:val="hybridMultilevel"/>
    <w:tmpl w:val="F620DBC0"/>
    <w:lvl w:ilvl="0" w:tplc="041B000F">
      <w:start w:val="1"/>
      <w:numFmt w:val="decimal"/>
      <w:lvlText w:val="%1."/>
      <w:lvlJc w:val="left"/>
      <w:pPr>
        <w:ind w:left="1077" w:hanging="360"/>
      </w:pPr>
      <w:rPr>
        <w:rFonts w:cs="Times New Roman"/>
      </w:rPr>
    </w:lvl>
    <w:lvl w:ilvl="1" w:tplc="041B0019" w:tentative="1">
      <w:start w:val="1"/>
      <w:numFmt w:val="lowerLetter"/>
      <w:lvlText w:val="%2."/>
      <w:lvlJc w:val="left"/>
      <w:pPr>
        <w:ind w:left="1797" w:hanging="360"/>
      </w:pPr>
      <w:rPr>
        <w:rFonts w:cs="Times New Roman"/>
      </w:rPr>
    </w:lvl>
    <w:lvl w:ilvl="2" w:tplc="041B001B" w:tentative="1">
      <w:start w:val="1"/>
      <w:numFmt w:val="lowerRoman"/>
      <w:lvlText w:val="%3."/>
      <w:lvlJc w:val="right"/>
      <w:pPr>
        <w:ind w:left="2517" w:hanging="180"/>
      </w:pPr>
      <w:rPr>
        <w:rFonts w:cs="Times New Roman"/>
      </w:rPr>
    </w:lvl>
    <w:lvl w:ilvl="3" w:tplc="041B000F" w:tentative="1">
      <w:start w:val="1"/>
      <w:numFmt w:val="decimal"/>
      <w:lvlText w:val="%4."/>
      <w:lvlJc w:val="left"/>
      <w:pPr>
        <w:ind w:left="3237" w:hanging="360"/>
      </w:pPr>
      <w:rPr>
        <w:rFonts w:cs="Times New Roman"/>
      </w:rPr>
    </w:lvl>
    <w:lvl w:ilvl="4" w:tplc="041B0019" w:tentative="1">
      <w:start w:val="1"/>
      <w:numFmt w:val="lowerLetter"/>
      <w:lvlText w:val="%5."/>
      <w:lvlJc w:val="left"/>
      <w:pPr>
        <w:ind w:left="3957" w:hanging="360"/>
      </w:pPr>
      <w:rPr>
        <w:rFonts w:cs="Times New Roman"/>
      </w:rPr>
    </w:lvl>
    <w:lvl w:ilvl="5" w:tplc="041B001B" w:tentative="1">
      <w:start w:val="1"/>
      <w:numFmt w:val="lowerRoman"/>
      <w:lvlText w:val="%6."/>
      <w:lvlJc w:val="right"/>
      <w:pPr>
        <w:ind w:left="4677" w:hanging="180"/>
      </w:pPr>
      <w:rPr>
        <w:rFonts w:cs="Times New Roman"/>
      </w:rPr>
    </w:lvl>
    <w:lvl w:ilvl="6" w:tplc="041B000F" w:tentative="1">
      <w:start w:val="1"/>
      <w:numFmt w:val="decimal"/>
      <w:lvlText w:val="%7."/>
      <w:lvlJc w:val="left"/>
      <w:pPr>
        <w:ind w:left="5397" w:hanging="360"/>
      </w:pPr>
      <w:rPr>
        <w:rFonts w:cs="Times New Roman"/>
      </w:rPr>
    </w:lvl>
    <w:lvl w:ilvl="7" w:tplc="041B0019" w:tentative="1">
      <w:start w:val="1"/>
      <w:numFmt w:val="lowerLetter"/>
      <w:lvlText w:val="%8."/>
      <w:lvlJc w:val="left"/>
      <w:pPr>
        <w:ind w:left="6117" w:hanging="360"/>
      </w:pPr>
      <w:rPr>
        <w:rFonts w:cs="Times New Roman"/>
      </w:rPr>
    </w:lvl>
    <w:lvl w:ilvl="8" w:tplc="041B001B" w:tentative="1">
      <w:start w:val="1"/>
      <w:numFmt w:val="lowerRoman"/>
      <w:lvlText w:val="%9."/>
      <w:lvlJc w:val="right"/>
      <w:pPr>
        <w:ind w:left="6837" w:hanging="180"/>
      </w:pPr>
      <w:rPr>
        <w:rFonts w:cs="Times New Roman"/>
      </w:rPr>
    </w:lvl>
  </w:abstractNum>
  <w:abstractNum w:abstractNumId="4" w15:restartNumberingAfterBreak="0">
    <w:nsid w:val="172A67C5"/>
    <w:multiLevelType w:val="hybridMultilevel"/>
    <w:tmpl w:val="4B0EE708"/>
    <w:lvl w:ilvl="0" w:tplc="4F2E210C">
      <w:start w:val="1"/>
      <w:numFmt w:val="decimal"/>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5E44704"/>
    <w:multiLevelType w:val="hybridMultilevel"/>
    <w:tmpl w:val="3948F102"/>
    <w:lvl w:ilvl="0" w:tplc="A8B221FC">
      <w:start w:val="1"/>
      <w:numFmt w:val="decimal"/>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6E30F01"/>
    <w:multiLevelType w:val="hybridMultilevel"/>
    <w:tmpl w:val="9A0A1E7C"/>
    <w:lvl w:ilvl="0" w:tplc="C3AE6140">
      <w:start w:val="1"/>
      <w:numFmt w:val="upp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8127791"/>
    <w:multiLevelType w:val="multilevel"/>
    <w:tmpl w:val="FF564D3C"/>
    <w:lvl w:ilvl="0">
      <w:start w:val="2"/>
      <w:numFmt w:val="upperRoman"/>
      <w:lvlText w:val="%1."/>
      <w:lvlJc w:val="left"/>
      <w:pPr>
        <w:ind w:left="357" w:hanging="357"/>
      </w:pPr>
      <w:rPr>
        <w:rFonts w:cs="Times New Roman" w:hint="default"/>
      </w:rPr>
    </w:lvl>
    <w:lvl w:ilvl="1">
      <w:start w:val="1"/>
      <w:numFmt w:val="decimal"/>
      <w:lvlText w:val="%2)"/>
      <w:lvlJc w:val="left"/>
      <w:pPr>
        <w:ind w:left="357" w:hanging="357"/>
      </w:pPr>
      <w:rPr>
        <w:rFonts w:cs="Times New Roman" w:hint="default"/>
      </w:rPr>
    </w:lvl>
    <w:lvl w:ilvl="2">
      <w:start w:val="1"/>
      <w:numFmt w:val="lowerLetter"/>
      <w:lvlText w:val="%3)"/>
      <w:lvlJc w:val="right"/>
      <w:pPr>
        <w:ind w:left="851" w:hanging="284"/>
      </w:pPr>
      <w:rPr>
        <w:rFonts w:cs="Times New Roman" w:hint="default"/>
      </w:rPr>
    </w:lvl>
    <w:lvl w:ilvl="3">
      <w:start w:val="1"/>
      <w:numFmt w:val="bullet"/>
      <w:lvlRestart w:val="0"/>
      <w:lvlText w:val=""/>
      <w:lvlJc w:val="left"/>
      <w:pPr>
        <w:ind w:left="1361" w:hanging="397"/>
      </w:pPr>
      <w:rPr>
        <w:rFonts w:ascii="Symbol" w:hAnsi="Symbol" w:hint="default"/>
        <w:color w:val="auto"/>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2BAD41D9"/>
    <w:multiLevelType w:val="hybridMultilevel"/>
    <w:tmpl w:val="E22A24FA"/>
    <w:lvl w:ilvl="0" w:tplc="041B0019">
      <w:start w:val="1"/>
      <w:numFmt w:val="lowerLetter"/>
      <w:lvlText w:val="%1."/>
      <w:lvlJc w:val="left"/>
      <w:pPr>
        <w:ind w:left="1440" w:hanging="360"/>
      </w:pPr>
      <w:rPr>
        <w:rFonts w:ascii="Arial" w:eastAsia="Times New Roman" w:hAnsi="Arial" w:cs="Times New Roman"/>
      </w:rPr>
    </w:lvl>
    <w:lvl w:ilvl="1" w:tplc="04050019">
      <w:start w:val="1"/>
      <w:numFmt w:val="lowerLetter"/>
      <w:lvlText w:val="%2."/>
      <w:lvlJc w:val="left"/>
      <w:pPr>
        <w:ind w:left="1952" w:hanging="360"/>
      </w:pPr>
      <w:rPr>
        <w:rFonts w:cs="Times New Roman"/>
      </w:rPr>
    </w:lvl>
    <w:lvl w:ilvl="2" w:tplc="0405001B" w:tentative="1">
      <w:start w:val="1"/>
      <w:numFmt w:val="lowerRoman"/>
      <w:lvlText w:val="%3."/>
      <w:lvlJc w:val="right"/>
      <w:pPr>
        <w:ind w:left="2672" w:hanging="180"/>
      </w:pPr>
      <w:rPr>
        <w:rFonts w:cs="Times New Roman"/>
      </w:rPr>
    </w:lvl>
    <w:lvl w:ilvl="3" w:tplc="0405000F" w:tentative="1">
      <w:start w:val="1"/>
      <w:numFmt w:val="decimal"/>
      <w:lvlText w:val="%4."/>
      <w:lvlJc w:val="left"/>
      <w:pPr>
        <w:ind w:left="3392" w:hanging="360"/>
      </w:pPr>
      <w:rPr>
        <w:rFonts w:cs="Times New Roman"/>
      </w:rPr>
    </w:lvl>
    <w:lvl w:ilvl="4" w:tplc="04050019" w:tentative="1">
      <w:start w:val="1"/>
      <w:numFmt w:val="lowerLetter"/>
      <w:lvlText w:val="%5."/>
      <w:lvlJc w:val="left"/>
      <w:pPr>
        <w:ind w:left="4112" w:hanging="360"/>
      </w:pPr>
      <w:rPr>
        <w:rFonts w:cs="Times New Roman"/>
      </w:rPr>
    </w:lvl>
    <w:lvl w:ilvl="5" w:tplc="0405001B" w:tentative="1">
      <w:start w:val="1"/>
      <w:numFmt w:val="lowerRoman"/>
      <w:lvlText w:val="%6."/>
      <w:lvlJc w:val="right"/>
      <w:pPr>
        <w:ind w:left="4832" w:hanging="180"/>
      </w:pPr>
      <w:rPr>
        <w:rFonts w:cs="Times New Roman"/>
      </w:rPr>
    </w:lvl>
    <w:lvl w:ilvl="6" w:tplc="0405000F" w:tentative="1">
      <w:start w:val="1"/>
      <w:numFmt w:val="decimal"/>
      <w:lvlText w:val="%7."/>
      <w:lvlJc w:val="left"/>
      <w:pPr>
        <w:ind w:left="5552" w:hanging="360"/>
      </w:pPr>
      <w:rPr>
        <w:rFonts w:cs="Times New Roman"/>
      </w:rPr>
    </w:lvl>
    <w:lvl w:ilvl="7" w:tplc="04050019" w:tentative="1">
      <w:start w:val="1"/>
      <w:numFmt w:val="lowerLetter"/>
      <w:lvlText w:val="%8."/>
      <w:lvlJc w:val="left"/>
      <w:pPr>
        <w:ind w:left="6272" w:hanging="360"/>
      </w:pPr>
      <w:rPr>
        <w:rFonts w:cs="Times New Roman"/>
      </w:rPr>
    </w:lvl>
    <w:lvl w:ilvl="8" w:tplc="0405001B" w:tentative="1">
      <w:start w:val="1"/>
      <w:numFmt w:val="lowerRoman"/>
      <w:lvlText w:val="%9."/>
      <w:lvlJc w:val="right"/>
      <w:pPr>
        <w:ind w:left="6992" w:hanging="180"/>
      </w:pPr>
      <w:rPr>
        <w:rFonts w:cs="Times New Roman"/>
      </w:rPr>
    </w:lvl>
  </w:abstractNum>
  <w:abstractNum w:abstractNumId="9" w15:restartNumberingAfterBreak="0">
    <w:nsid w:val="3350345E"/>
    <w:multiLevelType w:val="multilevel"/>
    <w:tmpl w:val="C8304E90"/>
    <w:lvl w:ilvl="0">
      <w:start w:val="2"/>
      <w:numFmt w:val="upperRoman"/>
      <w:lvlText w:val="%1."/>
      <w:lvlJc w:val="left"/>
      <w:pPr>
        <w:ind w:left="357" w:hanging="357"/>
      </w:pPr>
      <w:rPr>
        <w:rFonts w:cs="Times New Roman" w:hint="default"/>
      </w:rPr>
    </w:lvl>
    <w:lvl w:ilvl="1">
      <w:start w:val="2"/>
      <w:numFmt w:val="decimal"/>
      <w:lvlText w:val="%2)"/>
      <w:lvlJc w:val="left"/>
      <w:pPr>
        <w:ind w:left="357" w:hanging="357"/>
      </w:pPr>
      <w:rPr>
        <w:rFonts w:cs="Times New Roman" w:hint="default"/>
      </w:rPr>
    </w:lvl>
    <w:lvl w:ilvl="2">
      <w:start w:val="1"/>
      <w:numFmt w:val="lowerLetter"/>
      <w:lvlText w:val="%3)"/>
      <w:lvlJc w:val="right"/>
      <w:pPr>
        <w:ind w:left="851" w:hanging="284"/>
      </w:pPr>
      <w:rPr>
        <w:rFonts w:cs="Times New Roman" w:hint="default"/>
      </w:rPr>
    </w:lvl>
    <w:lvl w:ilvl="3">
      <w:start w:val="1"/>
      <w:numFmt w:val="bullet"/>
      <w:lvlRestart w:val="0"/>
      <w:lvlText w:val=""/>
      <w:lvlJc w:val="left"/>
      <w:pPr>
        <w:ind w:left="1361" w:hanging="397"/>
      </w:pPr>
      <w:rPr>
        <w:rFonts w:ascii="Symbol" w:hAnsi="Symbol" w:hint="default"/>
        <w:color w:val="auto"/>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34665D66"/>
    <w:multiLevelType w:val="multilevel"/>
    <w:tmpl w:val="C2A00ACC"/>
    <w:lvl w:ilvl="0">
      <w:start w:val="1"/>
      <w:numFmt w:val="decimal"/>
      <w:lvlText w:val="%1."/>
      <w:lvlJc w:val="left"/>
      <w:pPr>
        <w:ind w:left="357" w:hanging="357"/>
      </w:pPr>
      <w:rPr>
        <w:rFonts w:cs="Times New Roman" w:hint="default"/>
      </w:rPr>
    </w:lvl>
    <w:lvl w:ilvl="1">
      <w:start w:val="1"/>
      <w:numFmt w:val="decimal"/>
      <w:lvlText w:val="%2."/>
      <w:lvlJc w:val="left"/>
      <w:pPr>
        <w:ind w:left="357" w:hanging="357"/>
      </w:pPr>
      <w:rPr>
        <w:rFonts w:cs="Times New Roman" w:hint="default"/>
      </w:rPr>
    </w:lvl>
    <w:lvl w:ilvl="2">
      <w:start w:val="1"/>
      <w:numFmt w:val="lowerLetter"/>
      <w:lvlText w:val="%3)"/>
      <w:lvlJc w:val="right"/>
      <w:pPr>
        <w:ind w:left="851" w:hanging="284"/>
      </w:pPr>
      <w:rPr>
        <w:rFonts w:cs="Times New Roman" w:hint="default"/>
      </w:rPr>
    </w:lvl>
    <w:lvl w:ilvl="3">
      <w:start w:val="1"/>
      <w:numFmt w:val="bullet"/>
      <w:lvlRestart w:val="0"/>
      <w:lvlText w:val=""/>
      <w:lvlJc w:val="left"/>
      <w:pPr>
        <w:ind w:left="1361" w:hanging="397"/>
      </w:pPr>
      <w:rPr>
        <w:rFonts w:ascii="Symbol" w:hAnsi="Symbol" w:hint="default"/>
        <w:color w:val="auto"/>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36BA4B24"/>
    <w:multiLevelType w:val="hybridMultilevel"/>
    <w:tmpl w:val="3AEE30EE"/>
    <w:lvl w:ilvl="0" w:tplc="BACA7B5C">
      <w:start w:val="1"/>
      <w:numFmt w:val="decimal"/>
      <w:lvlText w:val="%1)"/>
      <w:lvlJc w:val="left"/>
      <w:pPr>
        <w:ind w:left="1065" w:hanging="705"/>
      </w:pPr>
      <w:rPr>
        <w:rFonts w:cs="Times New Roman" w:hint="default"/>
      </w:rPr>
    </w:lvl>
    <w:lvl w:ilvl="1" w:tplc="A7A01134">
      <w:start w:val="1"/>
      <w:numFmt w:val="lowerLetter"/>
      <w:lvlText w:val="%2)"/>
      <w:lvlJc w:val="left"/>
      <w:pPr>
        <w:ind w:left="1785" w:hanging="705"/>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268607C"/>
    <w:multiLevelType w:val="multilevel"/>
    <w:tmpl w:val="1CCAB670"/>
    <w:lvl w:ilvl="0">
      <w:start w:val="1"/>
      <w:numFmt w:val="upperRoman"/>
      <w:lvlText w:val="%1."/>
      <w:lvlJc w:val="left"/>
      <w:pPr>
        <w:ind w:left="357" w:hanging="357"/>
      </w:pPr>
      <w:rPr>
        <w:rFonts w:cs="Times New Roman" w:hint="default"/>
      </w:rPr>
    </w:lvl>
    <w:lvl w:ilvl="1">
      <w:start w:val="1"/>
      <w:numFmt w:val="decimal"/>
      <w:lvlText w:val="%2."/>
      <w:lvlJc w:val="left"/>
      <w:pPr>
        <w:ind w:left="357" w:hanging="357"/>
      </w:pPr>
      <w:rPr>
        <w:rFonts w:cs="Times New Roman" w:hint="default"/>
      </w:rPr>
    </w:lvl>
    <w:lvl w:ilvl="2">
      <w:start w:val="1"/>
      <w:numFmt w:val="decimal"/>
      <w:lvlText w:val="%3."/>
      <w:lvlJc w:val="left"/>
      <w:pPr>
        <w:ind w:left="851" w:hanging="284"/>
      </w:pPr>
      <w:rPr>
        <w:rFonts w:cs="Times New Roman" w:hint="default"/>
      </w:rPr>
    </w:lvl>
    <w:lvl w:ilvl="3">
      <w:start w:val="1"/>
      <w:numFmt w:val="bullet"/>
      <w:lvlRestart w:val="0"/>
      <w:lvlText w:val=""/>
      <w:lvlJc w:val="left"/>
      <w:pPr>
        <w:ind w:left="1361" w:hanging="397"/>
      </w:pPr>
      <w:rPr>
        <w:rFonts w:ascii="Symbol" w:hAnsi="Symbol" w:hint="default"/>
        <w:color w:val="auto"/>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15:restartNumberingAfterBreak="0">
    <w:nsid w:val="444975CF"/>
    <w:multiLevelType w:val="multilevel"/>
    <w:tmpl w:val="BD74A51C"/>
    <w:lvl w:ilvl="0">
      <w:start w:val="1"/>
      <w:numFmt w:val="upperRoman"/>
      <w:lvlText w:val="%1."/>
      <w:lvlJc w:val="left"/>
      <w:pPr>
        <w:ind w:left="357" w:hanging="357"/>
      </w:pPr>
      <w:rPr>
        <w:rFonts w:cs="Times New Roman" w:hint="default"/>
      </w:rPr>
    </w:lvl>
    <w:lvl w:ilvl="1">
      <w:start w:val="1"/>
      <w:numFmt w:val="decimal"/>
      <w:lvlText w:val="%2."/>
      <w:lvlJc w:val="left"/>
      <w:pPr>
        <w:ind w:left="357" w:hanging="357"/>
      </w:pPr>
      <w:rPr>
        <w:rFonts w:cs="Times New Roman" w:hint="default"/>
      </w:rPr>
    </w:lvl>
    <w:lvl w:ilvl="2">
      <w:start w:val="1"/>
      <w:numFmt w:val="lowerLetter"/>
      <w:lvlText w:val="%3)"/>
      <w:lvlJc w:val="left"/>
      <w:pPr>
        <w:ind w:left="851" w:hanging="284"/>
      </w:pPr>
      <w:rPr>
        <w:rFonts w:cs="Times New Roman" w:hint="default"/>
      </w:rPr>
    </w:lvl>
    <w:lvl w:ilvl="3">
      <w:start w:val="1"/>
      <w:numFmt w:val="bullet"/>
      <w:lvlRestart w:val="0"/>
      <w:lvlText w:val=""/>
      <w:lvlJc w:val="left"/>
      <w:pPr>
        <w:ind w:left="1361" w:hanging="397"/>
      </w:pPr>
      <w:rPr>
        <w:rFonts w:ascii="Symbol" w:hAnsi="Symbol" w:hint="default"/>
        <w:color w:val="auto"/>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447345A7"/>
    <w:multiLevelType w:val="hybridMultilevel"/>
    <w:tmpl w:val="E22A24FA"/>
    <w:lvl w:ilvl="0" w:tplc="041B0019">
      <w:start w:val="1"/>
      <w:numFmt w:val="lowerLetter"/>
      <w:lvlText w:val="%1."/>
      <w:lvlJc w:val="left"/>
      <w:pPr>
        <w:ind w:left="1440" w:hanging="360"/>
      </w:pPr>
      <w:rPr>
        <w:rFonts w:ascii="Arial" w:eastAsia="Times New Roman" w:hAnsi="Arial" w:cs="Times New Roman"/>
      </w:rPr>
    </w:lvl>
    <w:lvl w:ilvl="1" w:tplc="04050019">
      <w:start w:val="1"/>
      <w:numFmt w:val="lowerLetter"/>
      <w:lvlText w:val="%2."/>
      <w:lvlJc w:val="left"/>
      <w:pPr>
        <w:ind w:left="1952" w:hanging="360"/>
      </w:pPr>
      <w:rPr>
        <w:rFonts w:cs="Times New Roman"/>
      </w:rPr>
    </w:lvl>
    <w:lvl w:ilvl="2" w:tplc="0405001B" w:tentative="1">
      <w:start w:val="1"/>
      <w:numFmt w:val="lowerRoman"/>
      <w:lvlText w:val="%3."/>
      <w:lvlJc w:val="right"/>
      <w:pPr>
        <w:ind w:left="2672" w:hanging="180"/>
      </w:pPr>
      <w:rPr>
        <w:rFonts w:cs="Times New Roman"/>
      </w:rPr>
    </w:lvl>
    <w:lvl w:ilvl="3" w:tplc="0405000F" w:tentative="1">
      <w:start w:val="1"/>
      <w:numFmt w:val="decimal"/>
      <w:lvlText w:val="%4."/>
      <w:lvlJc w:val="left"/>
      <w:pPr>
        <w:ind w:left="3392" w:hanging="360"/>
      </w:pPr>
      <w:rPr>
        <w:rFonts w:cs="Times New Roman"/>
      </w:rPr>
    </w:lvl>
    <w:lvl w:ilvl="4" w:tplc="04050019" w:tentative="1">
      <w:start w:val="1"/>
      <w:numFmt w:val="lowerLetter"/>
      <w:lvlText w:val="%5."/>
      <w:lvlJc w:val="left"/>
      <w:pPr>
        <w:ind w:left="4112" w:hanging="360"/>
      </w:pPr>
      <w:rPr>
        <w:rFonts w:cs="Times New Roman"/>
      </w:rPr>
    </w:lvl>
    <w:lvl w:ilvl="5" w:tplc="0405001B" w:tentative="1">
      <w:start w:val="1"/>
      <w:numFmt w:val="lowerRoman"/>
      <w:lvlText w:val="%6."/>
      <w:lvlJc w:val="right"/>
      <w:pPr>
        <w:ind w:left="4832" w:hanging="180"/>
      </w:pPr>
      <w:rPr>
        <w:rFonts w:cs="Times New Roman"/>
      </w:rPr>
    </w:lvl>
    <w:lvl w:ilvl="6" w:tplc="0405000F" w:tentative="1">
      <w:start w:val="1"/>
      <w:numFmt w:val="decimal"/>
      <w:lvlText w:val="%7."/>
      <w:lvlJc w:val="left"/>
      <w:pPr>
        <w:ind w:left="5552" w:hanging="360"/>
      </w:pPr>
      <w:rPr>
        <w:rFonts w:cs="Times New Roman"/>
      </w:rPr>
    </w:lvl>
    <w:lvl w:ilvl="7" w:tplc="04050019" w:tentative="1">
      <w:start w:val="1"/>
      <w:numFmt w:val="lowerLetter"/>
      <w:lvlText w:val="%8."/>
      <w:lvlJc w:val="left"/>
      <w:pPr>
        <w:ind w:left="6272" w:hanging="360"/>
      </w:pPr>
      <w:rPr>
        <w:rFonts w:cs="Times New Roman"/>
      </w:rPr>
    </w:lvl>
    <w:lvl w:ilvl="8" w:tplc="0405001B" w:tentative="1">
      <w:start w:val="1"/>
      <w:numFmt w:val="lowerRoman"/>
      <w:lvlText w:val="%9."/>
      <w:lvlJc w:val="right"/>
      <w:pPr>
        <w:ind w:left="6992" w:hanging="180"/>
      </w:pPr>
      <w:rPr>
        <w:rFonts w:cs="Times New Roman"/>
      </w:rPr>
    </w:lvl>
  </w:abstractNum>
  <w:abstractNum w:abstractNumId="15" w15:restartNumberingAfterBreak="0">
    <w:nsid w:val="44A0703E"/>
    <w:multiLevelType w:val="hybridMultilevel"/>
    <w:tmpl w:val="C3C63230"/>
    <w:lvl w:ilvl="0" w:tplc="804A004C">
      <w:start w:val="1"/>
      <w:numFmt w:val="decimal"/>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93E15D6"/>
    <w:multiLevelType w:val="hybridMultilevel"/>
    <w:tmpl w:val="83E0C478"/>
    <w:lvl w:ilvl="0" w:tplc="1BB68FC2">
      <w:start w:val="1"/>
      <w:numFmt w:val="decimal"/>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514765ED"/>
    <w:multiLevelType w:val="hybridMultilevel"/>
    <w:tmpl w:val="B9C41650"/>
    <w:lvl w:ilvl="0" w:tplc="0CC4F92C">
      <w:start w:val="1"/>
      <w:numFmt w:val="decimal"/>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55543EC1"/>
    <w:multiLevelType w:val="hybridMultilevel"/>
    <w:tmpl w:val="718C8A6A"/>
    <w:lvl w:ilvl="0" w:tplc="1F7E92C0">
      <w:start w:val="1"/>
      <w:numFmt w:val="decimal"/>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BBA2C2B"/>
    <w:multiLevelType w:val="multilevel"/>
    <w:tmpl w:val="65E45F48"/>
    <w:lvl w:ilvl="0">
      <w:start w:val="1"/>
      <w:numFmt w:val="decimal"/>
      <w:pStyle w:val="Odstave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DC64939"/>
    <w:multiLevelType w:val="hybridMultilevel"/>
    <w:tmpl w:val="9FF87FBE"/>
    <w:lvl w:ilvl="0" w:tplc="4B209070">
      <w:start w:val="1"/>
      <w:numFmt w:val="decimal"/>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1862C20"/>
    <w:multiLevelType w:val="hybridMultilevel"/>
    <w:tmpl w:val="9C84EF40"/>
    <w:lvl w:ilvl="0" w:tplc="63A62ECC">
      <w:start w:val="1"/>
      <w:numFmt w:val="decimal"/>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0473543"/>
    <w:multiLevelType w:val="hybridMultilevel"/>
    <w:tmpl w:val="939EB8C0"/>
    <w:lvl w:ilvl="0" w:tplc="50A0A4BA">
      <w:start w:val="1"/>
      <w:numFmt w:val="decimal"/>
      <w:lvlText w:val="%1."/>
      <w:lvlJc w:val="left"/>
      <w:pPr>
        <w:ind w:left="720" w:hanging="360"/>
      </w:pPr>
      <w:rPr>
        <w:rFonts w:cs="Times New Roman" w:hint="default"/>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2"/>
      <w:numFmt w:val="decimal"/>
      <w:lvlText w:val="%4-"/>
      <w:lvlJc w:val="left"/>
      <w:pPr>
        <w:ind w:left="2880" w:hanging="360"/>
      </w:pPr>
      <w:rPr>
        <w:rFonts w:cs="Times New Roman" w:hint="default"/>
      </w:rPr>
    </w:lvl>
    <w:lvl w:ilvl="4" w:tplc="041B0019">
      <w:start w:val="1"/>
      <w:numFmt w:val="lowerLetter"/>
      <w:lvlText w:val="%5)"/>
      <w:lvlJc w:val="left"/>
      <w:pPr>
        <w:ind w:left="3600" w:hanging="360"/>
      </w:pPr>
      <w:rPr>
        <w:rFonts w:cs="Times New Roman" w:hint="default"/>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7D6432A6"/>
    <w:multiLevelType w:val="hybridMultilevel"/>
    <w:tmpl w:val="20F2272A"/>
    <w:lvl w:ilvl="0" w:tplc="BBF4F232">
      <w:start w:val="1"/>
      <w:numFmt w:val="decimal"/>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16cid:durableId="278873051">
    <w:abstractNumId w:val="0"/>
  </w:num>
  <w:num w:numId="2" w16cid:durableId="1105423080">
    <w:abstractNumId w:val="0"/>
  </w:num>
  <w:num w:numId="3" w16cid:durableId="1193108555">
    <w:abstractNumId w:val="13"/>
  </w:num>
  <w:num w:numId="4" w16cid:durableId="188567996">
    <w:abstractNumId w:val="18"/>
  </w:num>
  <w:num w:numId="5" w16cid:durableId="1420564931">
    <w:abstractNumId w:val="4"/>
  </w:num>
  <w:num w:numId="6" w16cid:durableId="2046517028">
    <w:abstractNumId w:val="16"/>
  </w:num>
  <w:num w:numId="7" w16cid:durableId="1232079739">
    <w:abstractNumId w:val="20"/>
  </w:num>
  <w:num w:numId="8" w16cid:durableId="1603995962">
    <w:abstractNumId w:val="11"/>
  </w:num>
  <w:num w:numId="9" w16cid:durableId="309214186">
    <w:abstractNumId w:val="17"/>
  </w:num>
  <w:num w:numId="10" w16cid:durableId="272173688">
    <w:abstractNumId w:val="5"/>
  </w:num>
  <w:num w:numId="11" w16cid:durableId="147601086">
    <w:abstractNumId w:val="2"/>
  </w:num>
  <w:num w:numId="12" w16cid:durableId="790973416">
    <w:abstractNumId w:val="21"/>
  </w:num>
  <w:num w:numId="13" w16cid:durableId="207885623">
    <w:abstractNumId w:val="23"/>
  </w:num>
  <w:num w:numId="14" w16cid:durableId="1268078309">
    <w:abstractNumId w:val="15"/>
  </w:num>
  <w:num w:numId="15" w16cid:durableId="2138599225">
    <w:abstractNumId w:val="3"/>
  </w:num>
  <w:num w:numId="16" w16cid:durableId="81143107">
    <w:abstractNumId w:val="12"/>
  </w:num>
  <w:num w:numId="17" w16cid:durableId="974217970">
    <w:abstractNumId w:val="10"/>
  </w:num>
  <w:num w:numId="18" w16cid:durableId="1872918920">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592106">
    <w:abstractNumId w:val="6"/>
  </w:num>
  <w:num w:numId="20" w16cid:durableId="508250125">
    <w:abstractNumId w:val="9"/>
  </w:num>
  <w:num w:numId="21" w16cid:durableId="1526793354">
    <w:abstractNumId w:val="7"/>
  </w:num>
  <w:num w:numId="22" w16cid:durableId="2094662279">
    <w:abstractNumId w:val="22"/>
  </w:num>
  <w:num w:numId="23" w16cid:durableId="1748305276">
    <w:abstractNumId w:val="14"/>
  </w:num>
  <w:num w:numId="24" w16cid:durableId="397216024">
    <w:abstractNumId w:val="1"/>
  </w:num>
  <w:num w:numId="25" w16cid:durableId="660695378">
    <w:abstractNumId w:val="8"/>
  </w:num>
  <w:num w:numId="26" w16cid:durableId="8873727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2D17"/>
    <w:rsid w:val="0000687B"/>
    <w:rsid w:val="0001063E"/>
    <w:rsid w:val="00021CC3"/>
    <w:rsid w:val="00022341"/>
    <w:rsid w:val="00031492"/>
    <w:rsid w:val="00032516"/>
    <w:rsid w:val="000336F7"/>
    <w:rsid w:val="000445F3"/>
    <w:rsid w:val="00062543"/>
    <w:rsid w:val="00074757"/>
    <w:rsid w:val="00074C8F"/>
    <w:rsid w:val="00081600"/>
    <w:rsid w:val="000827E3"/>
    <w:rsid w:val="000873DC"/>
    <w:rsid w:val="000A4F17"/>
    <w:rsid w:val="000A7C92"/>
    <w:rsid w:val="000E0ACE"/>
    <w:rsid w:val="001070DF"/>
    <w:rsid w:val="00121CC5"/>
    <w:rsid w:val="00151953"/>
    <w:rsid w:val="00153779"/>
    <w:rsid w:val="00157140"/>
    <w:rsid w:val="0016639A"/>
    <w:rsid w:val="0017347C"/>
    <w:rsid w:val="0018177A"/>
    <w:rsid w:val="001835C2"/>
    <w:rsid w:val="001875BA"/>
    <w:rsid w:val="00187DE6"/>
    <w:rsid w:val="001915ED"/>
    <w:rsid w:val="00194C28"/>
    <w:rsid w:val="001B38FD"/>
    <w:rsid w:val="001B6750"/>
    <w:rsid w:val="001C66B7"/>
    <w:rsid w:val="001E5A0E"/>
    <w:rsid w:val="001F15A7"/>
    <w:rsid w:val="001F2014"/>
    <w:rsid w:val="001F47C7"/>
    <w:rsid w:val="001F5FAA"/>
    <w:rsid w:val="001F7240"/>
    <w:rsid w:val="00202C7C"/>
    <w:rsid w:val="0020555F"/>
    <w:rsid w:val="00206611"/>
    <w:rsid w:val="00216B48"/>
    <w:rsid w:val="00224B6A"/>
    <w:rsid w:val="00224EE9"/>
    <w:rsid w:val="00250C23"/>
    <w:rsid w:val="0026418E"/>
    <w:rsid w:val="0027256B"/>
    <w:rsid w:val="0027342E"/>
    <w:rsid w:val="002753FA"/>
    <w:rsid w:val="00286585"/>
    <w:rsid w:val="00294DB7"/>
    <w:rsid w:val="002A4C8D"/>
    <w:rsid w:val="002A772D"/>
    <w:rsid w:val="002B5FDC"/>
    <w:rsid w:val="002C24C2"/>
    <w:rsid w:val="002C4ACB"/>
    <w:rsid w:val="00302ADE"/>
    <w:rsid w:val="003102D6"/>
    <w:rsid w:val="0031369E"/>
    <w:rsid w:val="003163B7"/>
    <w:rsid w:val="003179D7"/>
    <w:rsid w:val="00323C3E"/>
    <w:rsid w:val="003316EA"/>
    <w:rsid w:val="003634AA"/>
    <w:rsid w:val="0036639A"/>
    <w:rsid w:val="00367A9C"/>
    <w:rsid w:val="00371673"/>
    <w:rsid w:val="00381250"/>
    <w:rsid w:val="003906B2"/>
    <w:rsid w:val="00391540"/>
    <w:rsid w:val="003941EB"/>
    <w:rsid w:val="003C3E5A"/>
    <w:rsid w:val="003D4B65"/>
    <w:rsid w:val="003E700B"/>
    <w:rsid w:val="003F4B6C"/>
    <w:rsid w:val="0040474F"/>
    <w:rsid w:val="004169D4"/>
    <w:rsid w:val="0041705A"/>
    <w:rsid w:val="00434A3E"/>
    <w:rsid w:val="004379A0"/>
    <w:rsid w:val="00444509"/>
    <w:rsid w:val="0044738E"/>
    <w:rsid w:val="00454C7F"/>
    <w:rsid w:val="00463F33"/>
    <w:rsid w:val="004667A0"/>
    <w:rsid w:val="00471039"/>
    <w:rsid w:val="00495677"/>
    <w:rsid w:val="004A3A93"/>
    <w:rsid w:val="004A43A1"/>
    <w:rsid w:val="004C40B0"/>
    <w:rsid w:val="004D4C86"/>
    <w:rsid w:val="004E0272"/>
    <w:rsid w:val="004F229C"/>
    <w:rsid w:val="00512DC0"/>
    <w:rsid w:val="00517C2C"/>
    <w:rsid w:val="0052281D"/>
    <w:rsid w:val="00523476"/>
    <w:rsid w:val="00536928"/>
    <w:rsid w:val="00544BF9"/>
    <w:rsid w:val="00546094"/>
    <w:rsid w:val="00546235"/>
    <w:rsid w:val="00547CBA"/>
    <w:rsid w:val="00550A4F"/>
    <w:rsid w:val="00586205"/>
    <w:rsid w:val="00592B69"/>
    <w:rsid w:val="00597663"/>
    <w:rsid w:val="005A268B"/>
    <w:rsid w:val="005B6A9B"/>
    <w:rsid w:val="005B7489"/>
    <w:rsid w:val="005D20BC"/>
    <w:rsid w:val="005D3B4D"/>
    <w:rsid w:val="005D6A03"/>
    <w:rsid w:val="005D7DBC"/>
    <w:rsid w:val="005F13F3"/>
    <w:rsid w:val="005F22BA"/>
    <w:rsid w:val="005F5105"/>
    <w:rsid w:val="006079EE"/>
    <w:rsid w:val="00610A12"/>
    <w:rsid w:val="00622807"/>
    <w:rsid w:val="00634915"/>
    <w:rsid w:val="006515F3"/>
    <w:rsid w:val="00656071"/>
    <w:rsid w:val="00657AF0"/>
    <w:rsid w:val="00666E0E"/>
    <w:rsid w:val="00672420"/>
    <w:rsid w:val="00680AA9"/>
    <w:rsid w:val="00683C67"/>
    <w:rsid w:val="00693D18"/>
    <w:rsid w:val="006A09FF"/>
    <w:rsid w:val="006A7351"/>
    <w:rsid w:val="006B0614"/>
    <w:rsid w:val="006B32B5"/>
    <w:rsid w:val="006B4AC6"/>
    <w:rsid w:val="006C23CC"/>
    <w:rsid w:val="006E4DC2"/>
    <w:rsid w:val="006F5FFB"/>
    <w:rsid w:val="007058AC"/>
    <w:rsid w:val="00716F72"/>
    <w:rsid w:val="00721398"/>
    <w:rsid w:val="00721474"/>
    <w:rsid w:val="00732109"/>
    <w:rsid w:val="00733956"/>
    <w:rsid w:val="0073783C"/>
    <w:rsid w:val="007379AA"/>
    <w:rsid w:val="00750383"/>
    <w:rsid w:val="00763C67"/>
    <w:rsid w:val="00772C24"/>
    <w:rsid w:val="00784963"/>
    <w:rsid w:val="007A1BD7"/>
    <w:rsid w:val="007B0FDA"/>
    <w:rsid w:val="007B2767"/>
    <w:rsid w:val="007B3A79"/>
    <w:rsid w:val="007C1838"/>
    <w:rsid w:val="007C5353"/>
    <w:rsid w:val="007D0E54"/>
    <w:rsid w:val="007D5D42"/>
    <w:rsid w:val="007D77BD"/>
    <w:rsid w:val="00801B2D"/>
    <w:rsid w:val="00804403"/>
    <w:rsid w:val="00810310"/>
    <w:rsid w:val="008118AC"/>
    <w:rsid w:val="008309E8"/>
    <w:rsid w:val="008340D4"/>
    <w:rsid w:val="00850478"/>
    <w:rsid w:val="008512B2"/>
    <w:rsid w:val="00866493"/>
    <w:rsid w:val="0087291C"/>
    <w:rsid w:val="00872A3C"/>
    <w:rsid w:val="008919FA"/>
    <w:rsid w:val="008A1A88"/>
    <w:rsid w:val="008A5FC9"/>
    <w:rsid w:val="008C6AAC"/>
    <w:rsid w:val="008D2FCD"/>
    <w:rsid w:val="008D3C21"/>
    <w:rsid w:val="008E0684"/>
    <w:rsid w:val="008F2E4C"/>
    <w:rsid w:val="008F6420"/>
    <w:rsid w:val="008F6AC7"/>
    <w:rsid w:val="008F73F9"/>
    <w:rsid w:val="00926C1D"/>
    <w:rsid w:val="00927BD0"/>
    <w:rsid w:val="00943B45"/>
    <w:rsid w:val="0094601D"/>
    <w:rsid w:val="009528A7"/>
    <w:rsid w:val="00963669"/>
    <w:rsid w:val="009672CC"/>
    <w:rsid w:val="00967AE1"/>
    <w:rsid w:val="00970861"/>
    <w:rsid w:val="00983DD8"/>
    <w:rsid w:val="00987D28"/>
    <w:rsid w:val="00994A4B"/>
    <w:rsid w:val="009978D5"/>
    <w:rsid w:val="009A5511"/>
    <w:rsid w:val="009A58AF"/>
    <w:rsid w:val="009B1135"/>
    <w:rsid w:val="009B1CFF"/>
    <w:rsid w:val="009B35A2"/>
    <w:rsid w:val="009B7779"/>
    <w:rsid w:val="009C4FA3"/>
    <w:rsid w:val="009C7D1E"/>
    <w:rsid w:val="009D277F"/>
    <w:rsid w:val="009D2E59"/>
    <w:rsid w:val="009D5F2F"/>
    <w:rsid w:val="009E026D"/>
    <w:rsid w:val="009E03DA"/>
    <w:rsid w:val="009E1B02"/>
    <w:rsid w:val="00A144E5"/>
    <w:rsid w:val="00A261EB"/>
    <w:rsid w:val="00A26F6A"/>
    <w:rsid w:val="00A30BE8"/>
    <w:rsid w:val="00A31319"/>
    <w:rsid w:val="00A34D96"/>
    <w:rsid w:val="00A472DA"/>
    <w:rsid w:val="00A52D0F"/>
    <w:rsid w:val="00A54048"/>
    <w:rsid w:val="00A72208"/>
    <w:rsid w:val="00A75479"/>
    <w:rsid w:val="00A767E0"/>
    <w:rsid w:val="00A82DF7"/>
    <w:rsid w:val="00A869CD"/>
    <w:rsid w:val="00A915EF"/>
    <w:rsid w:val="00AB6173"/>
    <w:rsid w:val="00AC5AA1"/>
    <w:rsid w:val="00AD2426"/>
    <w:rsid w:val="00AD3098"/>
    <w:rsid w:val="00AD7250"/>
    <w:rsid w:val="00AE2998"/>
    <w:rsid w:val="00AE78E0"/>
    <w:rsid w:val="00AF2060"/>
    <w:rsid w:val="00AF4CE8"/>
    <w:rsid w:val="00B066C5"/>
    <w:rsid w:val="00B12F49"/>
    <w:rsid w:val="00B20377"/>
    <w:rsid w:val="00B216FF"/>
    <w:rsid w:val="00B255E6"/>
    <w:rsid w:val="00B25847"/>
    <w:rsid w:val="00B267FE"/>
    <w:rsid w:val="00B27752"/>
    <w:rsid w:val="00B440B9"/>
    <w:rsid w:val="00B4582E"/>
    <w:rsid w:val="00B56851"/>
    <w:rsid w:val="00B61D27"/>
    <w:rsid w:val="00B81266"/>
    <w:rsid w:val="00B83785"/>
    <w:rsid w:val="00B90A90"/>
    <w:rsid w:val="00B916B8"/>
    <w:rsid w:val="00BC13C0"/>
    <w:rsid w:val="00BC6933"/>
    <w:rsid w:val="00BC7155"/>
    <w:rsid w:val="00BD30C4"/>
    <w:rsid w:val="00BE46F8"/>
    <w:rsid w:val="00BF1421"/>
    <w:rsid w:val="00C10573"/>
    <w:rsid w:val="00C13B7C"/>
    <w:rsid w:val="00C33A4E"/>
    <w:rsid w:val="00C75486"/>
    <w:rsid w:val="00C77F4B"/>
    <w:rsid w:val="00C84A22"/>
    <w:rsid w:val="00C8517D"/>
    <w:rsid w:val="00C90DFB"/>
    <w:rsid w:val="00CB4E44"/>
    <w:rsid w:val="00CC34A3"/>
    <w:rsid w:val="00CC3AA3"/>
    <w:rsid w:val="00CC4CD8"/>
    <w:rsid w:val="00CD77D1"/>
    <w:rsid w:val="00CE4CE5"/>
    <w:rsid w:val="00CE7841"/>
    <w:rsid w:val="00D01C25"/>
    <w:rsid w:val="00D02686"/>
    <w:rsid w:val="00D068DC"/>
    <w:rsid w:val="00D075FA"/>
    <w:rsid w:val="00D10722"/>
    <w:rsid w:val="00D107F9"/>
    <w:rsid w:val="00D11529"/>
    <w:rsid w:val="00D14D30"/>
    <w:rsid w:val="00D14FD4"/>
    <w:rsid w:val="00D26FA2"/>
    <w:rsid w:val="00D27B83"/>
    <w:rsid w:val="00D401FC"/>
    <w:rsid w:val="00D42BD4"/>
    <w:rsid w:val="00D44488"/>
    <w:rsid w:val="00D8694A"/>
    <w:rsid w:val="00D90073"/>
    <w:rsid w:val="00D93C56"/>
    <w:rsid w:val="00D9457F"/>
    <w:rsid w:val="00DA3967"/>
    <w:rsid w:val="00DA4781"/>
    <w:rsid w:val="00DA54FB"/>
    <w:rsid w:val="00DB13DC"/>
    <w:rsid w:val="00DC6060"/>
    <w:rsid w:val="00DD279B"/>
    <w:rsid w:val="00E01222"/>
    <w:rsid w:val="00E0737D"/>
    <w:rsid w:val="00E21C41"/>
    <w:rsid w:val="00E26F0B"/>
    <w:rsid w:val="00E357FD"/>
    <w:rsid w:val="00E35FCF"/>
    <w:rsid w:val="00E36F75"/>
    <w:rsid w:val="00E54CCF"/>
    <w:rsid w:val="00E61706"/>
    <w:rsid w:val="00E7505B"/>
    <w:rsid w:val="00E755DF"/>
    <w:rsid w:val="00EA7C06"/>
    <w:rsid w:val="00EB2D17"/>
    <w:rsid w:val="00EC1776"/>
    <w:rsid w:val="00EC2C36"/>
    <w:rsid w:val="00ED0ED4"/>
    <w:rsid w:val="00ED4A08"/>
    <w:rsid w:val="00EE282D"/>
    <w:rsid w:val="00EF08F7"/>
    <w:rsid w:val="00EF306C"/>
    <w:rsid w:val="00F237E2"/>
    <w:rsid w:val="00F43BDC"/>
    <w:rsid w:val="00F645F9"/>
    <w:rsid w:val="00F6516C"/>
    <w:rsid w:val="00F66578"/>
    <w:rsid w:val="00F730D3"/>
    <w:rsid w:val="00F74318"/>
    <w:rsid w:val="00F74386"/>
    <w:rsid w:val="00FA6DA5"/>
    <w:rsid w:val="00FC0E25"/>
    <w:rsid w:val="00FC6283"/>
    <w:rsid w:val="00FD1920"/>
    <w:rsid w:val="00FD41DB"/>
    <w:rsid w:val="00FD5CC5"/>
    <w:rsid w:val="00FF7C9E"/>
    <w:rsid w:val="0BF965DB"/>
    <w:rsid w:val="151159D9"/>
    <w:rsid w:val="2212C4E4"/>
    <w:rsid w:val="22F5A415"/>
    <w:rsid w:val="2838CA17"/>
    <w:rsid w:val="576B0CAB"/>
    <w:rsid w:val="6357AA6F"/>
    <w:rsid w:val="72DB0132"/>
    <w:rsid w:val="7E2F43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93A331"/>
  <w15:docId w15:val="{EBCEC3FE-3BB2-4BD1-B55F-DE79586A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B0"/>
    <w:pPr>
      <w:spacing w:after="200" w:line="276" w:lineRule="auto"/>
    </w:pPr>
    <w:rPr>
      <w:sz w:val="22"/>
      <w:szCs w:val="22"/>
      <w:lang w:eastAsia="en-US"/>
    </w:rPr>
  </w:style>
  <w:style w:type="paragraph" w:styleId="Nadpis1">
    <w:name w:val="heading 1"/>
    <w:basedOn w:val="Normlny"/>
    <w:next w:val="Normlny"/>
    <w:link w:val="Nadpis1Char"/>
    <w:uiPriority w:val="99"/>
    <w:qFormat/>
    <w:rsid w:val="00F645F9"/>
    <w:pPr>
      <w:keepNext/>
      <w:keepLines/>
      <w:spacing w:before="360" w:after="0" w:line="240" w:lineRule="auto"/>
      <w:outlineLvl w:val="0"/>
    </w:pPr>
    <w:rPr>
      <w:rFonts w:eastAsia="Times New Roman"/>
      <w:bCs/>
      <w:color w:val="4F81BD"/>
      <w:spacing w:val="20"/>
      <w:sz w:val="32"/>
      <w:szCs w:val="28"/>
    </w:rPr>
  </w:style>
  <w:style w:type="paragraph" w:styleId="Nadpis2">
    <w:name w:val="heading 2"/>
    <w:basedOn w:val="Normlny"/>
    <w:next w:val="Normlny"/>
    <w:link w:val="Nadpis2Char"/>
    <w:uiPriority w:val="99"/>
    <w:qFormat/>
    <w:rsid w:val="00F645F9"/>
    <w:pPr>
      <w:keepNext/>
      <w:keepLines/>
      <w:spacing w:before="120" w:after="0" w:line="240" w:lineRule="auto"/>
      <w:outlineLvl w:val="1"/>
    </w:pPr>
    <w:rPr>
      <w:rFonts w:eastAsia="Times New Roman"/>
      <w:b/>
      <w:bCs/>
      <w:color w:val="4F81BD"/>
      <w:sz w:val="28"/>
      <w:szCs w:val="26"/>
    </w:rPr>
  </w:style>
  <w:style w:type="paragraph" w:styleId="Nadpis3">
    <w:name w:val="heading 3"/>
    <w:basedOn w:val="Normlny"/>
    <w:next w:val="Normlny"/>
    <w:link w:val="Nadpis3Char"/>
    <w:semiHidden/>
    <w:unhideWhenUsed/>
    <w:qFormat/>
    <w:locked/>
    <w:rsid w:val="00F74386"/>
    <w:pPr>
      <w:keepNext/>
      <w:keepLines/>
      <w:spacing w:before="200" w:after="0"/>
      <w:outlineLvl w:val="2"/>
    </w:pPr>
    <w:rPr>
      <w:rFonts w:asciiTheme="majorHAnsi" w:eastAsiaTheme="majorEastAsia" w:hAnsiTheme="majorHAnsi" w:cstheme="majorBidi"/>
      <w:b/>
      <w:bCs/>
      <w:color w:val="4F81BD" w:themeColor="accent1"/>
    </w:rPr>
  </w:style>
  <w:style w:type="paragraph" w:styleId="Nadpis8">
    <w:name w:val="heading 8"/>
    <w:basedOn w:val="Normlny"/>
    <w:next w:val="Normlny"/>
    <w:link w:val="Nadpis8Char"/>
    <w:semiHidden/>
    <w:unhideWhenUsed/>
    <w:qFormat/>
    <w:locked/>
    <w:rsid w:val="00A261E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eading1Char">
    <w:name w:val="Heading 1 Char"/>
    <w:uiPriority w:val="9"/>
    <w:rsid w:val="00B26448"/>
    <w:rPr>
      <w:rFonts w:ascii="Cambria" w:eastAsia="Times New Roman" w:hAnsi="Cambria" w:cs="Times New Roman"/>
      <w:b/>
      <w:bCs/>
      <w:kern w:val="32"/>
      <w:sz w:val="32"/>
      <w:szCs w:val="32"/>
      <w:lang w:val="sk-SK" w:eastAsia="en-US"/>
    </w:rPr>
  </w:style>
  <w:style w:type="character" w:customStyle="1" w:styleId="Nadpis2Char">
    <w:name w:val="Nadpis 2 Char"/>
    <w:link w:val="Nadpis2"/>
    <w:uiPriority w:val="99"/>
    <w:locked/>
    <w:rsid w:val="00F645F9"/>
    <w:rPr>
      <w:rFonts w:eastAsia="Times New Roman" w:cs="Times New Roman"/>
      <w:b/>
      <w:bCs/>
      <w:color w:val="4F81BD"/>
      <w:sz w:val="26"/>
      <w:szCs w:val="26"/>
    </w:rPr>
  </w:style>
  <w:style w:type="paragraph" w:styleId="Bezriadkovania">
    <w:name w:val="No Spacing"/>
    <w:link w:val="BezriadkovaniaChar"/>
    <w:uiPriority w:val="1"/>
    <w:qFormat/>
    <w:rsid w:val="00F645F9"/>
    <w:rPr>
      <w:sz w:val="22"/>
      <w:szCs w:val="22"/>
      <w:lang w:eastAsia="en-US"/>
    </w:rPr>
  </w:style>
  <w:style w:type="character" w:customStyle="1" w:styleId="Nadpis1Char">
    <w:name w:val="Nadpis 1 Char"/>
    <w:link w:val="Nadpis1"/>
    <w:uiPriority w:val="99"/>
    <w:locked/>
    <w:rsid w:val="00F645F9"/>
    <w:rPr>
      <w:rFonts w:ascii="Arial" w:hAnsi="Arial" w:cs="Times New Roman"/>
      <w:bCs/>
      <w:color w:val="4F81BD"/>
      <w:spacing w:val="20"/>
      <w:sz w:val="28"/>
      <w:szCs w:val="28"/>
    </w:rPr>
  </w:style>
  <w:style w:type="character" w:styleId="Intenzvnezvraznenie">
    <w:name w:val="Intense Emphasis"/>
    <w:uiPriority w:val="99"/>
    <w:qFormat/>
    <w:rsid w:val="00F645F9"/>
    <w:rPr>
      <w:rFonts w:cs="Times New Roman"/>
      <w:b/>
      <w:bCs/>
      <w:i/>
      <w:iCs/>
      <w:color w:val="4F81BD"/>
    </w:rPr>
  </w:style>
  <w:style w:type="paragraph" w:styleId="Odsekzoznamu">
    <w:name w:val="List Paragraph"/>
    <w:basedOn w:val="Normlny"/>
    <w:uiPriority w:val="99"/>
    <w:qFormat/>
    <w:rsid w:val="00CC34A3"/>
    <w:pPr>
      <w:ind w:left="720"/>
      <w:contextualSpacing/>
    </w:pPr>
  </w:style>
  <w:style w:type="character" w:styleId="Odkaznakomentr">
    <w:name w:val="annotation reference"/>
    <w:uiPriority w:val="99"/>
    <w:rsid w:val="00495677"/>
    <w:rPr>
      <w:rFonts w:cs="Times New Roman"/>
      <w:sz w:val="16"/>
      <w:szCs w:val="16"/>
    </w:rPr>
  </w:style>
  <w:style w:type="paragraph" w:styleId="Textkomentra">
    <w:name w:val="annotation text"/>
    <w:aliases w:val="Char4"/>
    <w:basedOn w:val="Normlny"/>
    <w:link w:val="TextkomentraChar"/>
    <w:uiPriority w:val="99"/>
    <w:rsid w:val="00495677"/>
    <w:pPr>
      <w:spacing w:line="240" w:lineRule="auto"/>
    </w:pPr>
    <w:rPr>
      <w:sz w:val="20"/>
      <w:szCs w:val="20"/>
    </w:rPr>
  </w:style>
  <w:style w:type="character" w:customStyle="1" w:styleId="TextkomentraChar">
    <w:name w:val="Text komentára Char"/>
    <w:aliases w:val="Char4 Char"/>
    <w:link w:val="Textkomentra"/>
    <w:uiPriority w:val="99"/>
    <w:locked/>
    <w:rsid w:val="00495677"/>
    <w:rPr>
      <w:rFonts w:cs="Times New Roman"/>
      <w:sz w:val="20"/>
      <w:szCs w:val="20"/>
    </w:rPr>
  </w:style>
  <w:style w:type="paragraph" w:styleId="Predmetkomentra">
    <w:name w:val="annotation subject"/>
    <w:basedOn w:val="Textkomentra"/>
    <w:next w:val="Textkomentra"/>
    <w:link w:val="PredmetkomentraChar"/>
    <w:uiPriority w:val="99"/>
    <w:semiHidden/>
    <w:rsid w:val="00495677"/>
    <w:rPr>
      <w:b/>
      <w:bCs/>
    </w:rPr>
  </w:style>
  <w:style w:type="character" w:customStyle="1" w:styleId="PredmetkomentraChar">
    <w:name w:val="Predmet komentára Char"/>
    <w:link w:val="Predmetkomentra"/>
    <w:uiPriority w:val="99"/>
    <w:semiHidden/>
    <w:locked/>
    <w:rsid w:val="00495677"/>
    <w:rPr>
      <w:rFonts w:cs="Times New Roman"/>
      <w:b/>
      <w:bCs/>
      <w:sz w:val="20"/>
      <w:szCs w:val="20"/>
    </w:rPr>
  </w:style>
  <w:style w:type="paragraph" w:styleId="Textbubliny">
    <w:name w:val="Balloon Text"/>
    <w:basedOn w:val="Normlny"/>
    <w:link w:val="TextbublinyChar"/>
    <w:uiPriority w:val="99"/>
    <w:semiHidden/>
    <w:rsid w:val="00495677"/>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495677"/>
    <w:rPr>
      <w:rFonts w:ascii="Tahoma" w:hAnsi="Tahoma" w:cs="Tahoma"/>
      <w:sz w:val="16"/>
      <w:szCs w:val="16"/>
    </w:rPr>
  </w:style>
  <w:style w:type="character" w:customStyle="1" w:styleId="TextkomentraChar1">
    <w:name w:val="Text komentára Char1"/>
    <w:uiPriority w:val="99"/>
    <w:semiHidden/>
    <w:locked/>
    <w:rsid w:val="002753FA"/>
    <w:rPr>
      <w:rFonts w:ascii="Arial" w:hAnsi="Arial"/>
      <w:lang w:val="en-GB" w:eastAsia="de-DE"/>
    </w:rPr>
  </w:style>
  <w:style w:type="paragraph" w:styleId="Revzia">
    <w:name w:val="Revision"/>
    <w:hidden/>
    <w:uiPriority w:val="99"/>
    <w:semiHidden/>
    <w:rsid w:val="003F4B6C"/>
    <w:rPr>
      <w:sz w:val="22"/>
      <w:szCs w:val="22"/>
      <w:lang w:eastAsia="en-US"/>
    </w:rPr>
  </w:style>
  <w:style w:type="character" w:styleId="Vrazn">
    <w:name w:val="Strong"/>
    <w:uiPriority w:val="99"/>
    <w:qFormat/>
    <w:rsid w:val="00AE78E0"/>
    <w:rPr>
      <w:rFonts w:cs="Times New Roman"/>
      <w:b/>
      <w:bCs/>
    </w:rPr>
  </w:style>
  <w:style w:type="character" w:customStyle="1" w:styleId="BezriadkovaniaChar">
    <w:name w:val="Bez riadkovania Char"/>
    <w:link w:val="Bezriadkovania"/>
    <w:uiPriority w:val="1"/>
    <w:locked/>
    <w:rsid w:val="008919FA"/>
    <w:rPr>
      <w:rFonts w:cs="Times New Roman"/>
      <w:sz w:val="22"/>
      <w:szCs w:val="22"/>
      <w:lang w:val="sk-SK" w:eastAsia="en-US" w:bidi="ar-SA"/>
    </w:rPr>
  </w:style>
  <w:style w:type="paragraph" w:styleId="Hlavika">
    <w:name w:val="header"/>
    <w:basedOn w:val="Normlny"/>
    <w:link w:val="HlavikaChar"/>
    <w:uiPriority w:val="99"/>
    <w:rsid w:val="003179D7"/>
    <w:pPr>
      <w:tabs>
        <w:tab w:val="center" w:pos="4536"/>
        <w:tab w:val="right" w:pos="9072"/>
      </w:tabs>
      <w:spacing w:after="0" w:line="240" w:lineRule="auto"/>
    </w:pPr>
  </w:style>
  <w:style w:type="character" w:customStyle="1" w:styleId="HlavikaChar">
    <w:name w:val="Hlavička Char"/>
    <w:link w:val="Hlavika"/>
    <w:uiPriority w:val="99"/>
    <w:locked/>
    <w:rsid w:val="003179D7"/>
    <w:rPr>
      <w:rFonts w:cs="Times New Roman"/>
    </w:rPr>
  </w:style>
  <w:style w:type="paragraph" w:styleId="Pta">
    <w:name w:val="footer"/>
    <w:basedOn w:val="Normlny"/>
    <w:link w:val="PtaChar"/>
    <w:uiPriority w:val="99"/>
    <w:rsid w:val="003179D7"/>
    <w:pPr>
      <w:tabs>
        <w:tab w:val="center" w:pos="4536"/>
        <w:tab w:val="right" w:pos="9072"/>
      </w:tabs>
      <w:spacing w:after="0" w:line="240" w:lineRule="auto"/>
    </w:pPr>
  </w:style>
  <w:style w:type="character" w:customStyle="1" w:styleId="PtaChar">
    <w:name w:val="Päta Char"/>
    <w:link w:val="Pta"/>
    <w:uiPriority w:val="99"/>
    <w:locked/>
    <w:rsid w:val="003179D7"/>
    <w:rPr>
      <w:rFonts w:cs="Times New Roman"/>
    </w:rPr>
  </w:style>
  <w:style w:type="paragraph" w:styleId="Nzov">
    <w:name w:val="Title"/>
    <w:aliases w:val="Články"/>
    <w:basedOn w:val="Normlny"/>
    <w:next w:val="Normlny"/>
    <w:link w:val="NzovChar"/>
    <w:uiPriority w:val="99"/>
    <w:qFormat/>
    <w:rsid w:val="00D10722"/>
    <w:pPr>
      <w:spacing w:after="120" w:line="240" w:lineRule="auto"/>
      <w:contextualSpacing/>
    </w:pPr>
    <w:rPr>
      <w:rFonts w:eastAsia="Times New Roman"/>
      <w:color w:val="1F497D"/>
      <w:spacing w:val="30"/>
      <w:kern w:val="28"/>
      <w:sz w:val="96"/>
      <w:szCs w:val="52"/>
    </w:rPr>
  </w:style>
  <w:style w:type="character" w:customStyle="1" w:styleId="NzovChar">
    <w:name w:val="Názov Char"/>
    <w:aliases w:val="Články Char"/>
    <w:link w:val="Nzov"/>
    <w:uiPriority w:val="99"/>
    <w:locked/>
    <w:rsid w:val="00D10722"/>
    <w:rPr>
      <w:rFonts w:ascii="Arial" w:hAnsi="Arial" w:cs="Times New Roman"/>
      <w:color w:val="1F497D"/>
      <w:spacing w:val="30"/>
      <w:kern w:val="28"/>
      <w:sz w:val="52"/>
      <w:szCs w:val="52"/>
    </w:rPr>
  </w:style>
  <w:style w:type="paragraph" w:styleId="Citcia">
    <w:name w:val="Quote"/>
    <w:basedOn w:val="Normlny"/>
    <w:next w:val="Normlny"/>
    <w:link w:val="CitciaChar"/>
    <w:uiPriority w:val="99"/>
    <w:qFormat/>
    <w:rsid w:val="00D10722"/>
    <w:pPr>
      <w:spacing w:after="0" w:line="360" w:lineRule="auto"/>
      <w:jc w:val="center"/>
    </w:pPr>
    <w:rPr>
      <w:rFonts w:eastAsia="Times New Roman"/>
      <w:b/>
      <w:i/>
      <w:iCs/>
      <w:color w:val="4F81BD"/>
      <w:sz w:val="26"/>
      <w:lang w:bidi="hi-IN"/>
    </w:rPr>
  </w:style>
  <w:style w:type="character" w:customStyle="1" w:styleId="CitciaChar">
    <w:name w:val="Citácia Char"/>
    <w:link w:val="Citcia"/>
    <w:uiPriority w:val="99"/>
    <w:locked/>
    <w:rsid w:val="00D10722"/>
    <w:rPr>
      <w:rFonts w:eastAsia="Times New Roman" w:cs="Times New Roman"/>
      <w:b/>
      <w:i/>
      <w:iCs/>
      <w:color w:val="4F81BD"/>
      <w:sz w:val="26"/>
      <w:lang w:bidi="hi-IN"/>
    </w:rPr>
  </w:style>
  <w:style w:type="paragraph" w:styleId="slovanzoznam">
    <w:name w:val="List Number"/>
    <w:basedOn w:val="Normlny"/>
    <w:uiPriority w:val="99"/>
    <w:rsid w:val="009B35A2"/>
    <w:pPr>
      <w:tabs>
        <w:tab w:val="num" w:pos="360"/>
      </w:tabs>
      <w:contextualSpacing/>
    </w:pPr>
  </w:style>
  <w:style w:type="character" w:customStyle="1" w:styleId="CommentTextChar1">
    <w:name w:val="Comment Text Char1"/>
    <w:aliases w:val="Char4 Char1"/>
    <w:uiPriority w:val="99"/>
    <w:locked/>
    <w:rsid w:val="00367A9C"/>
    <w:rPr>
      <w:rFonts w:ascii="Arial" w:hAnsi="Arial"/>
      <w:lang w:val="en-GB" w:eastAsia="de-DE"/>
    </w:rPr>
  </w:style>
  <w:style w:type="paragraph" w:customStyle="1" w:styleId="Odstavec1">
    <w:name w:val="Odstavec 1."/>
    <w:basedOn w:val="Normlny"/>
    <w:link w:val="Odstavec1Char"/>
    <w:uiPriority w:val="99"/>
    <w:rsid w:val="00367A9C"/>
    <w:pPr>
      <w:numPr>
        <w:numId w:val="26"/>
      </w:numPr>
      <w:overflowPunct w:val="0"/>
      <w:autoSpaceDE w:val="0"/>
      <w:autoSpaceDN w:val="0"/>
      <w:adjustRightInd w:val="0"/>
      <w:spacing w:after="0" w:line="360" w:lineRule="auto"/>
      <w:ind w:left="360"/>
      <w:jc w:val="both"/>
      <w:textAlignment w:val="baseline"/>
    </w:pPr>
    <w:rPr>
      <w:noProof/>
      <w:sz w:val="20"/>
      <w:szCs w:val="20"/>
      <w:lang w:eastAsia="cs-CZ"/>
    </w:rPr>
  </w:style>
  <w:style w:type="character" w:customStyle="1" w:styleId="Odstavec1Char">
    <w:name w:val="Odstavec 1. Char"/>
    <w:link w:val="Odstavec1"/>
    <w:uiPriority w:val="99"/>
    <w:locked/>
    <w:rsid w:val="00367A9C"/>
    <w:rPr>
      <w:rFonts w:ascii="Arial" w:hAnsi="Arial"/>
      <w:noProof/>
      <w:lang w:val="sk-SK" w:eastAsia="cs-CZ"/>
    </w:rPr>
  </w:style>
  <w:style w:type="character" w:customStyle="1" w:styleId="Nadpis3Char">
    <w:name w:val="Nadpis 3 Char"/>
    <w:basedOn w:val="Predvolenpsmoodseku"/>
    <w:link w:val="Nadpis3"/>
    <w:semiHidden/>
    <w:rsid w:val="00F74386"/>
    <w:rPr>
      <w:rFonts w:asciiTheme="majorHAnsi" w:eastAsiaTheme="majorEastAsia" w:hAnsiTheme="majorHAnsi" w:cstheme="majorBidi"/>
      <w:b/>
      <w:bCs/>
      <w:color w:val="4F81BD" w:themeColor="accent1"/>
      <w:sz w:val="22"/>
      <w:szCs w:val="22"/>
      <w:lang w:eastAsia="en-US"/>
    </w:rPr>
  </w:style>
  <w:style w:type="character" w:customStyle="1" w:styleId="Nadpis8Char">
    <w:name w:val="Nadpis 8 Char"/>
    <w:basedOn w:val="Predvolenpsmoodseku"/>
    <w:link w:val="Nadpis8"/>
    <w:uiPriority w:val="9"/>
    <w:semiHidden/>
    <w:rsid w:val="00A261EB"/>
    <w:rPr>
      <w:rFonts w:asciiTheme="majorHAnsi" w:eastAsiaTheme="majorEastAsia" w:hAnsiTheme="majorHAnsi" w:cstheme="majorBidi"/>
      <w:color w:val="404040" w:themeColor="text1" w:themeTint="BF"/>
      <w:lang w:eastAsia="en-US"/>
    </w:rPr>
  </w:style>
  <w:style w:type="paragraph" w:customStyle="1" w:styleId="Bezriadkovania1">
    <w:name w:val="Bez riadkovania1"/>
    <w:qFormat/>
    <w:rsid w:val="00194C28"/>
    <w:rPr>
      <w:rFonts w:eastAsia="Times New Roman"/>
      <w:sz w:val="22"/>
      <w:szCs w:val="22"/>
      <w:lang w:eastAsia="en-US"/>
    </w:rPr>
  </w:style>
  <w:style w:type="table" w:styleId="Mriekatabuky">
    <w:name w:val="Table Grid"/>
    <w:basedOn w:val="Normlnatabu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373684">
      <w:bodyDiv w:val="1"/>
      <w:marLeft w:val="0"/>
      <w:marRight w:val="0"/>
      <w:marTop w:val="0"/>
      <w:marBottom w:val="0"/>
      <w:divBdr>
        <w:top w:val="none" w:sz="0" w:space="0" w:color="auto"/>
        <w:left w:val="none" w:sz="0" w:space="0" w:color="auto"/>
        <w:bottom w:val="none" w:sz="0" w:space="0" w:color="auto"/>
        <w:right w:val="none" w:sz="0" w:space="0" w:color="auto"/>
      </w:divBdr>
    </w:div>
    <w:div w:id="1359430454">
      <w:bodyDiv w:val="1"/>
      <w:marLeft w:val="0"/>
      <w:marRight w:val="0"/>
      <w:marTop w:val="0"/>
      <w:marBottom w:val="0"/>
      <w:divBdr>
        <w:top w:val="none" w:sz="0" w:space="0" w:color="auto"/>
        <w:left w:val="none" w:sz="0" w:space="0" w:color="auto"/>
        <w:bottom w:val="none" w:sz="0" w:space="0" w:color="auto"/>
        <w:right w:val="none" w:sz="0" w:space="0" w:color="auto"/>
      </w:divBdr>
    </w:div>
    <w:div w:id="1669479470">
      <w:marLeft w:val="0"/>
      <w:marRight w:val="0"/>
      <w:marTop w:val="0"/>
      <w:marBottom w:val="0"/>
      <w:divBdr>
        <w:top w:val="none" w:sz="0" w:space="0" w:color="auto"/>
        <w:left w:val="none" w:sz="0" w:space="0" w:color="auto"/>
        <w:bottom w:val="none" w:sz="0" w:space="0" w:color="auto"/>
        <w:right w:val="none" w:sz="0" w:space="0" w:color="auto"/>
      </w:divBdr>
    </w:div>
    <w:div w:id="1669479471">
      <w:marLeft w:val="0"/>
      <w:marRight w:val="0"/>
      <w:marTop w:val="0"/>
      <w:marBottom w:val="0"/>
      <w:divBdr>
        <w:top w:val="none" w:sz="0" w:space="0" w:color="auto"/>
        <w:left w:val="none" w:sz="0" w:space="0" w:color="auto"/>
        <w:bottom w:val="none" w:sz="0" w:space="0" w:color="auto"/>
        <w:right w:val="none" w:sz="0" w:space="0" w:color="auto"/>
      </w:divBdr>
    </w:div>
    <w:div w:id="1669479472">
      <w:marLeft w:val="0"/>
      <w:marRight w:val="0"/>
      <w:marTop w:val="0"/>
      <w:marBottom w:val="0"/>
      <w:divBdr>
        <w:top w:val="none" w:sz="0" w:space="0" w:color="auto"/>
        <w:left w:val="none" w:sz="0" w:space="0" w:color="auto"/>
        <w:bottom w:val="none" w:sz="0" w:space="0" w:color="auto"/>
        <w:right w:val="none" w:sz="0" w:space="0" w:color="auto"/>
      </w:divBdr>
    </w:div>
    <w:div w:id="1669479473">
      <w:marLeft w:val="0"/>
      <w:marRight w:val="0"/>
      <w:marTop w:val="0"/>
      <w:marBottom w:val="0"/>
      <w:divBdr>
        <w:top w:val="none" w:sz="0" w:space="0" w:color="auto"/>
        <w:left w:val="none" w:sz="0" w:space="0" w:color="auto"/>
        <w:bottom w:val="none" w:sz="0" w:space="0" w:color="auto"/>
        <w:right w:val="none" w:sz="0" w:space="0" w:color="auto"/>
      </w:divBdr>
    </w:div>
    <w:div w:id="1669479474">
      <w:marLeft w:val="0"/>
      <w:marRight w:val="0"/>
      <w:marTop w:val="0"/>
      <w:marBottom w:val="0"/>
      <w:divBdr>
        <w:top w:val="none" w:sz="0" w:space="0" w:color="auto"/>
        <w:left w:val="none" w:sz="0" w:space="0" w:color="auto"/>
        <w:bottom w:val="none" w:sz="0" w:space="0" w:color="auto"/>
        <w:right w:val="none" w:sz="0" w:space="0" w:color="auto"/>
      </w:divBdr>
    </w:div>
    <w:div w:id="1669479475">
      <w:marLeft w:val="0"/>
      <w:marRight w:val="0"/>
      <w:marTop w:val="0"/>
      <w:marBottom w:val="0"/>
      <w:divBdr>
        <w:top w:val="none" w:sz="0" w:space="0" w:color="auto"/>
        <w:left w:val="none" w:sz="0" w:space="0" w:color="auto"/>
        <w:bottom w:val="none" w:sz="0" w:space="0" w:color="auto"/>
        <w:right w:val="none" w:sz="0" w:space="0" w:color="auto"/>
      </w:divBdr>
    </w:div>
    <w:div w:id="1669479476">
      <w:marLeft w:val="0"/>
      <w:marRight w:val="0"/>
      <w:marTop w:val="0"/>
      <w:marBottom w:val="0"/>
      <w:divBdr>
        <w:top w:val="none" w:sz="0" w:space="0" w:color="auto"/>
        <w:left w:val="none" w:sz="0" w:space="0" w:color="auto"/>
        <w:bottom w:val="none" w:sz="0" w:space="0" w:color="auto"/>
        <w:right w:val="none" w:sz="0" w:space="0" w:color="auto"/>
      </w:divBdr>
    </w:div>
    <w:div w:id="1669479477">
      <w:marLeft w:val="0"/>
      <w:marRight w:val="0"/>
      <w:marTop w:val="0"/>
      <w:marBottom w:val="0"/>
      <w:divBdr>
        <w:top w:val="none" w:sz="0" w:space="0" w:color="auto"/>
        <w:left w:val="none" w:sz="0" w:space="0" w:color="auto"/>
        <w:bottom w:val="none" w:sz="0" w:space="0" w:color="auto"/>
        <w:right w:val="none" w:sz="0" w:space="0" w:color="auto"/>
      </w:divBdr>
    </w:div>
    <w:div w:id="1669479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5E82AE62BE0C46BED191682548F84C" ma:contentTypeVersion="4" ma:contentTypeDescription="Umožňuje vytvoriť nový dokument." ma:contentTypeScope="" ma:versionID="b202a0bfc7b43928e8d8826c839faaef">
  <xsd:schema xmlns:xsd="http://www.w3.org/2001/XMLSchema" xmlns:xs="http://www.w3.org/2001/XMLSchema" xmlns:p="http://schemas.microsoft.com/office/2006/metadata/properties" xmlns:ns2="b3e355d1-e57c-4f46-9765-acd8f3840a7a" targetNamespace="http://schemas.microsoft.com/office/2006/metadata/properties" ma:root="true" ma:fieldsID="f65d82b08ea1ef33b0f4300a213be4a8" ns2:_="">
    <xsd:import namespace="b3e355d1-e57c-4f46-9765-acd8f3840a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355d1-e57c-4f46-9765-acd8f3840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02064-CF4D-4B5D-92AE-A26CDA798A07}">
  <ds:schemaRefs>
    <ds:schemaRef ds:uri="http://schemas.microsoft.com/sharepoint/v3/contenttype/forms"/>
  </ds:schemaRefs>
</ds:datastoreItem>
</file>

<file path=customXml/itemProps2.xml><?xml version="1.0" encoding="utf-8"?>
<ds:datastoreItem xmlns:ds="http://schemas.openxmlformats.org/officeDocument/2006/customXml" ds:itemID="{A85ADE16-820E-4779-AAAA-7B91E3AB5F27}">
  <ds:schemaRefs>
    <ds:schemaRef ds:uri="http://schemas.microsoft.com/office/2006/documentManagement/types"/>
    <ds:schemaRef ds:uri="http://schemas.microsoft.com/office/2006/metadata/properties"/>
    <ds:schemaRef ds:uri="http://www.w3.org/XML/1998/namespace"/>
    <ds:schemaRef ds:uri="http://purl.org/dc/terms/"/>
    <ds:schemaRef ds:uri="b3e355d1-e57c-4f46-9765-acd8f3840a7a"/>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4627A1E3-18FC-4300-9C35-7D7DB7E81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355d1-e57c-4f46-9765-acd8f3840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2986</Words>
  <Characters>17024</Characters>
  <Application>Microsoft Office Word</Application>
  <DocSecurity>0</DocSecurity>
  <Lines>141</Lines>
  <Paragraphs>39</Paragraphs>
  <ScaleCrop>false</ScaleCrop>
  <Company/>
  <LinksUpToDate>false</LinksUpToDate>
  <CharactersWithSpaces>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 Boleček Ing.</dc:creator>
  <cp:lastModifiedBy>Gazdíková Alexandra</cp:lastModifiedBy>
  <cp:revision>59</cp:revision>
  <cp:lastPrinted>2023-06-05T14:08:00Z</cp:lastPrinted>
  <dcterms:created xsi:type="dcterms:W3CDTF">2013-12-02T17:59:00Z</dcterms:created>
  <dcterms:modified xsi:type="dcterms:W3CDTF">2023-06-05T14:08:00Z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0x010100E95E82AE62BE0C46BED191682548F84C</vt:lpwstr>
  </property>
</Properties>
</file>